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80" w:after="60"/>
      </w:pPr>
      <w:r>
        <w:rPr>
          <w:rFonts w:ascii="Arial" w:hAnsi="Arial"/>
          <w:b/>
          <w:i w:val="0"/>
          <w:color w:val="9F1239"/>
          <w:sz w:val="40"/>
        </w:rPr>
        <w:t>SENE BAŞI ÖĞRETMENLER KURULU</w:t>
      </w:r>
    </w:p>
    <w:p>
      <w:pPr>
        <w:spacing w:after="240"/>
      </w:pPr>
      <w:r>
        <w:rPr>
          <w:rFonts w:ascii="Arial" w:hAnsi="Arial"/>
          <w:b/>
          <w:i w:val="0"/>
          <w:color w:val="17365D"/>
          <w:sz w:val="25"/>
        </w:rPr>
        <w:t>2026-2027 Eğitim ve Öğretim Yılı | Lise</w:t>
      </w:r>
    </w:p>
    <w:tbl>
      <w:tblPr>
        <w:tblW w:type="dxa" w:w="9840"/>
        <w:jc w:val="left"/>
        <w:tblLayout w:type="fixed"/>
        <w:tblLook w:firstColumn="1" w:firstRow="1" w:lastColumn="0" w:lastRow="0" w:noHBand="0" w:noVBand="1" w:val="04A0"/>
        <w:tblInd w:w="0" w:type="dxa"/>
        <w:tblBorders>
          <w:top w:val="single" w:sz="8" w:color="9F1239"/>
          <w:left w:val="single" w:sz="8" w:color="9F1239"/>
          <w:bottom w:val="single" w:sz="8" w:color="9F1239"/>
          <w:right w:val="single" w:sz="8" w:color="9F1239"/>
          <w:insideH w:val="single" w:sz="8" w:color="9F1239"/>
          <w:insideV w:val="single" w:sz="8" w:color="9F1239"/>
        </w:tblBorders>
      </w:tblPr>
      <w:tblGrid>
        <w:gridCol w:w="9840"/>
      </w:tblGrid>
      <w:tr>
        <w:tc>
          <w:tcPr>
            <w:tcW w:type="dxa" w:w="98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7FAFC"/>
          </w:tcPr>
          <w:p>
            <w:pPr>
              <w:spacing w:after="0"/>
            </w:pPr>
            <w:r>
              <w:rPr>
                <w:rFonts w:ascii="Arial" w:hAnsi="Arial"/>
                <w:b/>
                <w:i w:val="0"/>
                <w:color w:val="9F1239"/>
                <w:sz w:val="19"/>
              </w:rPr>
              <w:t xml:space="preserve">KULLANIM NOTU: </w:t>
            </w:r>
            <w:r>
              <w:rPr>
                <w:rFonts w:ascii="Arial" w:hAnsi="Arial"/>
                <w:b w:val="0"/>
                <w:i w:val="0"/>
                <w:color w:val="1F2937"/>
                <w:sz w:val="19"/>
              </w:rPr>
              <w:t>Bu belge örnek taslaktır. Okulun türü, ihtiyaçları, il/ilçe talimatları ve kurul üyelerinin önerileri doğrultusunda gündem ve kararlar uyarlanmalıdır. Toplantı tarihi, yeri ve gündemi zorunlu hâller dışında en az 5 gün önceden duyurulur.</w:t>
            </w:r>
          </w:p>
        </w:tc>
      </w:tr>
    </w:tbl>
    <w:p>
      <w:pPr>
        <w:spacing w:after="20"/>
      </w:pPr>
    </w:p>
    <w:p>
      <w:pPr>
        <w:pStyle w:val="Heading1"/>
      </w:pPr>
      <w:r>
        <w:t>Toplantı Bilgileri</w:t>
      </w:r>
    </w:p>
    <w:tbl>
      <w:tblPr>
        <w:tblW w:type="dxa" w:w="9840"/>
        <w:jc w:val="left"/>
        <w:tblLayout w:type="fixed"/>
        <w:tblLook w:firstColumn="1" w:firstRow="1" w:lastColumn="0" w:lastRow="0" w:noHBand="0" w:noVBand="1" w:val="04A0"/>
        <w:tblInd w:w="0" w:type="dxa"/>
        <w:tblBorders>
          <w:top w:val="single" w:sz="6" w:color="AAB4C0"/>
          <w:left w:val="single" w:sz="6" w:color="AAB4C0"/>
          <w:bottom w:val="single" w:sz="6" w:color="AAB4C0"/>
          <w:right w:val="single" w:sz="6" w:color="AAB4C0"/>
          <w:insideH w:val="single" w:sz="6" w:color="AAB4C0"/>
          <w:insideV w:val="single" w:sz="6" w:color="AAB4C0"/>
        </w:tblBorders>
      </w:tblPr>
      <w:tblGrid>
        <w:gridCol w:w="2500"/>
        <w:gridCol w:w="7340"/>
      </w:tblGrid>
      <w:tr>
        <w:tc>
          <w:tcPr>
            <w:tcW w:type="dxa" w:w="25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3F6F9"/>
          </w:tcPr>
          <w:p>
            <w:r>
              <w:rPr>
                <w:rFonts w:ascii="Arial" w:hAnsi="Arial"/>
                <w:b/>
                <w:i w:val="0"/>
                <w:color w:val="17365D"/>
                <w:sz w:val="19"/>
              </w:rPr>
              <w:t>Okul/Kurum Adı</w:t>
            </w:r>
          </w:p>
        </w:tc>
        <w:tc>
          <w:tcPr>
            <w:tcW w:type="dxa" w:w="73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5B6573"/>
                <w:sz w:val="19"/>
              </w:rPr>
              <w:t>................................................................................................</w:t>
            </w:r>
          </w:p>
        </w:tc>
      </w:tr>
      <w:tr>
        <w:tc>
          <w:tcPr>
            <w:tcW w:type="dxa" w:w="25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3F6F9"/>
          </w:tcPr>
          <w:p>
            <w:r>
              <w:rPr>
                <w:rFonts w:ascii="Arial" w:hAnsi="Arial"/>
                <w:b/>
                <w:i w:val="0"/>
                <w:color w:val="17365D"/>
                <w:sz w:val="19"/>
              </w:rPr>
              <w:t>Toplantı Tarihi ve Saati</w:t>
            </w:r>
          </w:p>
        </w:tc>
        <w:tc>
          <w:tcPr>
            <w:tcW w:type="dxa" w:w="73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5B6573"/>
                <w:sz w:val="19"/>
              </w:rPr>
              <w:t>................................................................................................</w:t>
            </w:r>
          </w:p>
        </w:tc>
      </w:tr>
      <w:tr>
        <w:tc>
          <w:tcPr>
            <w:tcW w:type="dxa" w:w="25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3F6F9"/>
          </w:tcPr>
          <w:p>
            <w:r>
              <w:rPr>
                <w:rFonts w:ascii="Arial" w:hAnsi="Arial"/>
                <w:b/>
                <w:i w:val="0"/>
                <w:color w:val="17365D"/>
                <w:sz w:val="19"/>
              </w:rPr>
              <w:t>Toplantı Yeri</w:t>
            </w:r>
          </w:p>
        </w:tc>
        <w:tc>
          <w:tcPr>
            <w:tcW w:type="dxa" w:w="73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5B6573"/>
                <w:sz w:val="19"/>
              </w:rPr>
              <w:t>................................................................................................</w:t>
            </w:r>
          </w:p>
        </w:tc>
      </w:tr>
      <w:tr>
        <w:tc>
          <w:tcPr>
            <w:tcW w:type="dxa" w:w="25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3F6F9"/>
          </w:tcPr>
          <w:p>
            <w:r>
              <w:rPr>
                <w:rFonts w:ascii="Arial" w:hAnsi="Arial"/>
                <w:b/>
                <w:i w:val="0"/>
                <w:color w:val="17365D"/>
                <w:sz w:val="19"/>
              </w:rPr>
              <w:t>Kurul Başkanı</w:t>
            </w:r>
          </w:p>
        </w:tc>
        <w:tc>
          <w:tcPr>
            <w:tcW w:type="dxa" w:w="73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5B6573"/>
                <w:sz w:val="19"/>
              </w:rPr>
              <w:t>................................................................................................</w:t>
            </w:r>
          </w:p>
        </w:tc>
      </w:tr>
      <w:tr>
        <w:tc>
          <w:tcPr>
            <w:tcW w:type="dxa" w:w="25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3F6F9"/>
          </w:tcPr>
          <w:p>
            <w:r>
              <w:rPr>
                <w:rFonts w:ascii="Arial" w:hAnsi="Arial"/>
                <w:b/>
                <w:i w:val="0"/>
                <w:color w:val="17365D"/>
                <w:sz w:val="19"/>
              </w:rPr>
              <w:t>Yazman</w:t>
            </w:r>
          </w:p>
        </w:tc>
        <w:tc>
          <w:tcPr>
            <w:tcW w:type="dxa" w:w="734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5B6573"/>
                <w:sz w:val="19"/>
              </w:rPr>
              <w:t>................................................................................................</w:t>
            </w:r>
          </w:p>
        </w:tc>
      </w:tr>
    </w:tbl>
    <w:p>
      <w:pPr>
        <w:pStyle w:val="Heading1"/>
      </w:pPr>
      <w:r>
        <w:t>Dayanak ve Toplantı Esasları</w:t>
      </w:r>
    </w:p>
    <w:p>
      <w:pPr>
        <w:pStyle w:val="ListBullet"/>
        <w:spacing w:after="80"/>
        <w:ind w:left="425" w:hanging="198"/>
      </w:pPr>
      <w:r>
        <w:rPr>
          <w:rFonts w:ascii="Arial" w:hAnsi="Arial"/>
          <w:b w:val="0"/>
          <w:i w:val="0"/>
          <w:color w:val="1F2937"/>
          <w:sz w:val="20"/>
        </w:rPr>
        <w:t>Millî Eğitim Bakanlığı Eğitim Kurulları ve Zümreleri Yönergesi (12.02.2025 tarihli yürürlükteki metin), özellikle Madde 7 ve Madde 9.</w:t>
      </w:r>
    </w:p>
    <w:p>
      <w:pPr>
        <w:pStyle w:val="ListBullet"/>
        <w:spacing w:after="80"/>
        <w:ind w:left="425" w:hanging="198"/>
      </w:pPr>
      <w:r>
        <w:rPr>
          <w:rFonts w:ascii="Arial" w:hAnsi="Arial"/>
          <w:b w:val="0"/>
          <w:i w:val="0"/>
          <w:color w:val="1F2937"/>
          <w:sz w:val="20"/>
        </w:rPr>
        <w:t>2026-2027 Eğitim ve Öğretim Yılına İlişkin İş ve İşlemler Genelgesi.</w:t>
      </w:r>
    </w:p>
    <w:p>
      <w:pPr>
        <w:pStyle w:val="ListBullet"/>
        <w:spacing w:after="80"/>
        <w:ind w:left="425" w:hanging="198"/>
      </w:pPr>
      <w:r>
        <w:rPr>
          <w:rFonts w:ascii="Arial" w:hAnsi="Arial"/>
          <w:b w:val="0"/>
          <w:i w:val="0"/>
          <w:color w:val="1F2937"/>
          <w:sz w:val="20"/>
        </w:rPr>
        <w:t>2026-2027 Eğitim ve Öğretim Yılı Çalışma Takvimi.</w:t>
      </w:r>
    </w:p>
    <w:p>
      <w:pPr>
        <w:pStyle w:val="ListBullet"/>
        <w:spacing w:after="80"/>
        <w:ind w:left="425" w:hanging="198"/>
      </w:pPr>
      <w:r>
        <w:rPr>
          <w:rFonts w:ascii="Arial" w:hAnsi="Arial"/>
          <w:b w:val="0"/>
          <w:i w:val="0"/>
          <w:color w:val="1F2937"/>
          <w:sz w:val="20"/>
        </w:rPr>
        <w:t>Okulun türüne göre ilgili yönetmelikler, il/ilçe millî eğitim müdürlüğü talimatları ve okulun stratejik planı.</w:t>
      </w:r>
    </w:p>
    <w:p>
      <w:pPr>
        <w:pStyle w:val="Heading1"/>
      </w:pPr>
      <w:r>
        <w:t>Gündem Maddeleri</w:t>
      </w:r>
    </w:p>
    <w:tbl>
      <w:tblPr>
        <w:tblW w:type="dxa" w:w="9840"/>
        <w:tblLayout w:type="fixed"/>
        <w:tblLook w:firstColumn="1" w:firstRow="1" w:lastColumn="0" w:lastRow="0" w:noHBand="0" w:noVBand="1" w:val="04A0"/>
        <w:jc w:val="left"/>
        <w:tblInd w:w="0" w:type="dxa"/>
        <w:tblBorders>
          <w:top w:val="single" w:sz="6" w:color="AAB4C0"/>
          <w:left w:val="single" w:sz="6" w:color="AAB4C0"/>
          <w:bottom w:val="single" w:sz="6" w:color="AAB4C0"/>
          <w:right w:val="single" w:sz="6" w:color="AAB4C0"/>
          <w:insideH w:val="single" w:sz="6" w:color="AAB4C0"/>
          <w:insideV w:val="single" w:sz="6" w:color="AAB4C0"/>
        </w:tblBorders>
      </w:tblPr>
      <w:tblGrid>
        <w:gridCol w:w="720"/>
        <w:gridCol w:w="9120"/>
      </w:tblGrid>
      <w:tr>
        <w:trPr>
          <w:tblHeader w:val="true"/>
        </w:trPr>
        <w:tc>
          <w:tcPr>
            <w:tcW w:type="dxa" w:w="7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9F1239"/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9"/>
              </w:rPr>
              <w:t>No</w:t>
            </w:r>
          </w:p>
        </w:tc>
        <w:tc>
          <w:tcPr>
            <w:tcW w:type="dxa" w:w="91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9F1239"/>
          </w:tcPr>
          <w:p>
            <w:pPr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9"/>
              </w:rPr>
              <w:t>Gündem Maddesi</w:t>
            </w:r>
          </w:p>
        </w:tc>
      </w:tr>
      <w:tr>
        <w:tc>
          <w:tcPr>
            <w:tcW w:type="dxa" w:w="7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9F1239"/>
                <w:sz w:val="18"/>
              </w:rPr>
              <w:t>1</w:t>
            </w:r>
          </w:p>
        </w:tc>
        <w:tc>
          <w:tcPr>
            <w:tcW w:type="dxa" w:w="91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Açılış, yoklama, kurul yazmanının belirlenmesi ve gündemin okunması.</w:t>
            </w:r>
          </w:p>
        </w:tc>
      </w:tr>
      <w:tr>
        <w:tc>
          <w:tcPr>
            <w:tcW w:type="dxa" w:w="7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9F1239"/>
                <w:sz w:val="18"/>
              </w:rPr>
              <w:t>2</w:t>
            </w:r>
          </w:p>
        </w:tc>
        <w:tc>
          <w:tcPr>
            <w:tcW w:type="dxa" w:w="91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Bir önceki öğretmenler kurulu kararlarının ve gerçekleşme durumunun değerlendirilmesi.</w:t>
            </w:r>
          </w:p>
        </w:tc>
      </w:tr>
      <w:tr>
        <w:tc>
          <w:tcPr>
            <w:tcW w:type="dxa" w:w="7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9F1239"/>
                <w:sz w:val="18"/>
              </w:rPr>
              <w:t>3</w:t>
            </w:r>
          </w:p>
        </w:tc>
        <w:tc>
          <w:tcPr>
            <w:tcW w:type="dxa" w:w="91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2026-2027 çalışma takvimi, ders yılı başlangıç-bitiş tarihleri ve yıllık iş planının görüşülmesi.</w:t>
            </w:r>
          </w:p>
        </w:tc>
      </w:tr>
      <w:tr>
        <w:tc>
          <w:tcPr>
            <w:tcW w:type="dxa" w:w="7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9F1239"/>
                <w:sz w:val="18"/>
              </w:rPr>
              <w:t>4</w:t>
            </w:r>
          </w:p>
        </w:tc>
        <w:tc>
          <w:tcPr>
            <w:tcW w:type="dxa" w:w="91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2026-2027 Eğitim ve Öğretim Yılına İlişkin İş ve İşlemler Genelgesi ile güncel mevzuat değişikliklerinin değerlendirilmesi.</w:t>
            </w:r>
          </w:p>
        </w:tc>
      </w:tr>
      <w:tr>
        <w:tc>
          <w:tcPr>
            <w:tcW w:type="dxa" w:w="7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9F1239"/>
                <w:sz w:val="18"/>
              </w:rPr>
              <w:t>5</w:t>
            </w:r>
          </w:p>
        </w:tc>
        <w:tc>
          <w:tcPr>
            <w:tcW w:type="dxa" w:w="91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Türkiye Yüzyılı Maarif Modeli öğretim programları, yıllık planlar ve zümreler arası iş birliği.</w:t>
            </w:r>
          </w:p>
        </w:tc>
      </w:tr>
      <w:tr>
        <w:tc>
          <w:tcPr>
            <w:tcW w:type="dxa" w:w="7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9F1239"/>
                <w:sz w:val="18"/>
              </w:rPr>
              <w:t>6</w:t>
            </w:r>
          </w:p>
        </w:tc>
        <w:tc>
          <w:tcPr>
            <w:tcW w:type="dxa" w:w="91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Öğrenci başarısı, devam-devamsızlık takibi ve öğrenme kayıplarını azaltmaya yönelik önlemler.</w:t>
            </w:r>
          </w:p>
        </w:tc>
      </w:tr>
      <w:tr>
        <w:tc>
          <w:tcPr>
            <w:tcW w:type="dxa" w:w="7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9F1239"/>
                <w:sz w:val="18"/>
              </w:rPr>
              <w:t>7</w:t>
            </w:r>
          </w:p>
        </w:tc>
        <w:tc>
          <w:tcPr>
            <w:tcW w:type="dxa" w:w="91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Özel eğitim ihtiyacı olan öğrenciler, BEP süreçleri ve destek eğitim odası planlaması.</w:t>
            </w:r>
          </w:p>
        </w:tc>
      </w:tr>
      <w:tr>
        <w:tc>
          <w:tcPr>
            <w:tcW w:type="dxa" w:w="7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9F1239"/>
                <w:sz w:val="18"/>
              </w:rPr>
              <w:t>8</w:t>
            </w:r>
          </w:p>
        </w:tc>
        <w:tc>
          <w:tcPr>
            <w:tcW w:type="dxa" w:w="91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Rehberlik ve psikolojik danışma hizmetleri; güvenli, kapsayıcı ve destekleyici okul iklimi.</w:t>
            </w:r>
          </w:p>
        </w:tc>
      </w:tr>
      <w:tr>
        <w:tc>
          <w:tcPr>
            <w:tcW w:type="dxa" w:w="7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9F1239"/>
                <w:sz w:val="18"/>
              </w:rPr>
              <w:t>9</w:t>
            </w:r>
          </w:p>
        </w:tc>
        <w:tc>
          <w:tcPr>
            <w:tcW w:type="dxa" w:w="91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Okul ve çevre güvenliği, acil durum ve tahliye planları, iş sağlığı ve güvenliği tedbirleri.</w:t>
            </w:r>
          </w:p>
        </w:tc>
      </w:tr>
      <w:tr>
        <w:tc>
          <w:tcPr>
            <w:tcW w:type="dxa" w:w="7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9F1239"/>
                <w:sz w:val="18"/>
              </w:rPr>
              <w:t>10</w:t>
            </w:r>
          </w:p>
        </w:tc>
        <w:tc>
          <w:tcPr>
            <w:tcW w:type="dxa" w:w="91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Nöbet hizmetleri, giriş-çıkışların kontrolü ve okulun ortak kullanım alanlarına ilişkin düzenlemeler.</w:t>
            </w:r>
          </w:p>
        </w:tc>
      </w:tr>
      <w:tr>
        <w:tc>
          <w:tcPr>
            <w:tcW w:type="dxa" w:w="7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9F1239"/>
                <w:sz w:val="18"/>
              </w:rPr>
              <w:t>11</w:t>
            </w:r>
          </w:p>
        </w:tc>
        <w:tc>
          <w:tcPr>
            <w:tcW w:type="dxa" w:w="91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Öğrenci kulüpleri, sosyal sorumluluk programı, bilimsel-kültürel-sanatsal-sportif etkinlikler ve geziler.</w:t>
            </w:r>
          </w:p>
        </w:tc>
      </w:tr>
      <w:tr>
        <w:tc>
          <w:tcPr>
            <w:tcW w:type="dxa" w:w="7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9F1239"/>
                <w:sz w:val="18"/>
              </w:rPr>
              <w:t>12</w:t>
            </w:r>
          </w:p>
        </w:tc>
        <w:tc>
          <w:tcPr>
            <w:tcW w:type="dxa" w:w="91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Değerler eğitimi, millî birlik ve beraberlik bilinci ve yılın ilk haftasında yürütülecek etkinlikler.</w:t>
            </w:r>
          </w:p>
        </w:tc>
      </w:tr>
      <w:tr>
        <w:tc>
          <w:tcPr>
            <w:tcW w:type="dxa" w:w="7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9F1239"/>
                <w:sz w:val="18"/>
              </w:rPr>
              <w:t>13</w:t>
            </w:r>
          </w:p>
        </w:tc>
        <w:tc>
          <w:tcPr>
            <w:tcW w:type="dxa" w:w="91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Dijital esenlik, siber güvenlik, bilişim araçlarının kullanımı ve sınıf içinde cep telefonu uygulaması.</w:t>
            </w:r>
          </w:p>
        </w:tc>
      </w:tr>
      <w:tr>
        <w:tc>
          <w:tcPr>
            <w:tcW w:type="dxa" w:w="7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9F1239"/>
                <w:sz w:val="18"/>
              </w:rPr>
              <w:t>14</w:t>
            </w:r>
          </w:p>
        </w:tc>
        <w:tc>
          <w:tcPr>
            <w:tcW w:type="dxa" w:w="91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Okul sağlığı, temizlik, dengeli beslenme ve koruyucu-önleyici sağlık çalışmaları.</w:t>
            </w:r>
          </w:p>
        </w:tc>
      </w:tr>
      <w:tr>
        <w:tc>
          <w:tcPr>
            <w:tcW w:type="dxa" w:w="7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9F1239"/>
                <w:sz w:val="18"/>
              </w:rPr>
              <w:t>15</w:t>
            </w:r>
          </w:p>
        </w:tc>
        <w:tc>
          <w:tcPr>
            <w:tcW w:type="dxa" w:w="91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Veli görüşmelerinin Okul Randevu Sistemi üzerinden yürütülmesi ve okul-aile iş birliği.</w:t>
            </w:r>
          </w:p>
        </w:tc>
      </w:tr>
      <w:tr>
        <w:tc>
          <w:tcPr>
            <w:tcW w:type="dxa" w:w="7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9F1239"/>
                <w:sz w:val="18"/>
              </w:rPr>
              <w:t>16</w:t>
            </w:r>
          </w:p>
        </w:tc>
        <w:tc>
          <w:tcPr>
            <w:tcW w:type="dxa" w:w="91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Kurul ve komisyonların oluşturulması; görev dağılımlarının yapılması.</w:t>
            </w:r>
          </w:p>
        </w:tc>
      </w:tr>
      <w:tr>
        <w:tc>
          <w:tcPr>
            <w:tcW w:type="dxa" w:w="7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9F1239"/>
                <w:sz w:val="18"/>
              </w:rPr>
              <w:t>17</w:t>
            </w:r>
          </w:p>
        </w:tc>
        <w:tc>
          <w:tcPr>
            <w:tcW w:type="dxa" w:w="91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Hizmet içi eğitim ihtiyaçlarının ve mesleki gelişim önceliklerinin belirlenmesi.</w:t>
            </w:r>
          </w:p>
        </w:tc>
      </w:tr>
      <w:tr>
        <w:tc>
          <w:tcPr>
            <w:tcW w:type="dxa" w:w="7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9F1239"/>
                <w:sz w:val="18"/>
              </w:rPr>
              <w:t>18</w:t>
            </w:r>
          </w:p>
        </w:tc>
        <w:tc>
          <w:tcPr>
            <w:tcW w:type="dxa" w:w="91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Hazırlık ve 9. sınıf öğrencilerinin okul işleyişine, akademik yapıya ve sosyal ortama uyumunu destekleyecek rehberlik çalışmaları.</w:t>
            </w:r>
          </w:p>
        </w:tc>
      </w:tr>
      <w:tr>
        <w:tc>
          <w:tcPr>
            <w:tcW w:type="dxa" w:w="7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9F1239"/>
                <w:sz w:val="18"/>
              </w:rPr>
              <w:t>19</w:t>
            </w:r>
          </w:p>
        </w:tc>
        <w:tc>
          <w:tcPr>
            <w:tcW w:type="dxa" w:w="91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Sınıf geçme, sorumluluk sınavları, devamsızlık ve ödül-disiplin süreçleri hakkında güncel mevzuatın değerlendirilmesi.</w:t>
            </w:r>
          </w:p>
        </w:tc>
      </w:tr>
      <w:tr>
        <w:tc>
          <w:tcPr>
            <w:tcW w:type="dxa" w:w="7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9F1239"/>
                <w:sz w:val="18"/>
              </w:rPr>
              <w:t>20</w:t>
            </w:r>
          </w:p>
        </w:tc>
        <w:tc>
          <w:tcPr>
            <w:tcW w:type="dxa" w:w="91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Bakanlıkça belirlenen ortak yazılı sınavlar, okul sınav takvimi ve ölçme-değerlendirme uygulamaları.</w:t>
            </w:r>
          </w:p>
        </w:tc>
      </w:tr>
      <w:tr>
        <w:tc>
          <w:tcPr>
            <w:tcW w:type="dxa" w:w="7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9F1239"/>
                <w:sz w:val="18"/>
              </w:rPr>
              <w:t>21</w:t>
            </w:r>
          </w:p>
        </w:tc>
        <w:tc>
          <w:tcPr>
            <w:tcW w:type="dxa" w:w="91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Bakanlık dışında hazırlanan deneme, tarama ve sıralama sınavlarının uygulanmamasına ilişkin genelge hükümleri.</w:t>
            </w:r>
          </w:p>
        </w:tc>
      </w:tr>
      <w:tr>
        <w:tc>
          <w:tcPr>
            <w:tcW w:type="dxa" w:w="7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9F1239"/>
                <w:sz w:val="18"/>
              </w:rPr>
              <w:t>22</w:t>
            </w:r>
          </w:p>
        </w:tc>
        <w:tc>
          <w:tcPr>
            <w:tcW w:type="dxa" w:w="91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YKS hazırlık, akademik izleme, kariyer planlama ve yükseköğretime yönlendirme çalışmaları.</w:t>
            </w:r>
          </w:p>
        </w:tc>
      </w:tr>
      <w:tr>
        <w:tc>
          <w:tcPr>
            <w:tcW w:type="dxa" w:w="7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9F1239"/>
                <w:sz w:val="18"/>
              </w:rPr>
              <w:t>23</w:t>
            </w:r>
          </w:p>
        </w:tc>
        <w:tc>
          <w:tcPr>
            <w:tcW w:type="dxa" w:w="91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Destekleme ve Yetiştirme Kursları (DYK) ihtiyaçları, öğrenci devamı ve kurs verimliliği.</w:t>
            </w:r>
          </w:p>
        </w:tc>
      </w:tr>
      <w:tr>
        <w:tc>
          <w:tcPr>
            <w:tcW w:type="dxa" w:w="7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9F1239"/>
                <w:sz w:val="18"/>
              </w:rPr>
              <w:t>24</w:t>
            </w:r>
          </w:p>
        </w:tc>
        <w:tc>
          <w:tcPr>
            <w:tcW w:type="dxa" w:w="91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Ortaöğretim sınıf/şube öğretmenler kurullarının kasım ve nisan aylarında yapılmasına ilişkin planlama.</w:t>
            </w:r>
          </w:p>
        </w:tc>
      </w:tr>
      <w:tr>
        <w:tc>
          <w:tcPr>
            <w:tcW w:type="dxa" w:w="7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9F1239"/>
                <w:sz w:val="18"/>
              </w:rPr>
              <w:t>25</w:t>
            </w:r>
          </w:p>
        </w:tc>
        <w:tc>
          <w:tcPr>
            <w:tcW w:type="dxa" w:w="91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‘Türk Dünyası Kültür Atlası, Bilge ve Hakan’ın Zamanı Aşan Yolculuğu’ materyalinin derslerle ilişkilendirilmesi.</w:t>
            </w:r>
          </w:p>
        </w:tc>
      </w:tr>
      <w:tr>
        <w:tc>
          <w:tcPr>
            <w:tcW w:type="dxa" w:w="7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9F1239"/>
                <w:sz w:val="18"/>
              </w:rPr>
              <w:t>26</w:t>
            </w:r>
          </w:p>
        </w:tc>
        <w:tc>
          <w:tcPr>
            <w:tcW w:type="dxa" w:w="91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Sosyal sorumluluk programı, öğrenci kulüpleri, toplum hizmeti ve okul dışı öğrenme ortamları.</w:t>
            </w:r>
          </w:p>
        </w:tc>
      </w:tr>
      <w:tr>
        <w:tc>
          <w:tcPr>
            <w:tcW w:type="dxa" w:w="7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9F1239"/>
                <w:sz w:val="18"/>
              </w:rPr>
              <w:t>27</w:t>
            </w:r>
          </w:p>
        </w:tc>
        <w:tc>
          <w:tcPr>
            <w:tcW w:type="dxa" w:w="91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Mezunların izlenmesi, üniversite/meslek tercihleri ve mezuniyet etkinliklerinin pedagojik, etik ve mali ilkeleri.</w:t>
            </w:r>
          </w:p>
        </w:tc>
      </w:tr>
      <w:tr>
        <w:tc>
          <w:tcPr>
            <w:tcW w:type="dxa" w:w="7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9F1239"/>
                <w:sz w:val="18"/>
              </w:rPr>
              <w:t>28</w:t>
            </w:r>
          </w:p>
        </w:tc>
        <w:tc>
          <w:tcPr>
            <w:tcW w:type="dxa" w:w="91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Pansiyonlu okullarda belletici öğretmenlik, öğrenci güvenliği ve pansiyon işleyişi (varsa).</w:t>
            </w:r>
          </w:p>
        </w:tc>
      </w:tr>
      <w:tr>
        <w:tc>
          <w:tcPr>
            <w:tcW w:type="dxa" w:w="7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9F1239"/>
                <w:sz w:val="18"/>
              </w:rPr>
              <w:t>29</w:t>
            </w:r>
          </w:p>
        </w:tc>
        <w:tc>
          <w:tcPr>
            <w:tcW w:type="dxa" w:w="91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Mesleki ve teknik liselerde atölye/işletme güvenliği, staj ve MEB-İMES uygulaması (uygunsa).</w:t>
            </w:r>
          </w:p>
        </w:tc>
      </w:tr>
      <w:tr>
        <w:tc>
          <w:tcPr>
            <w:tcW w:type="dxa" w:w="7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9F1239"/>
                <w:sz w:val="18"/>
              </w:rPr>
              <w:t>30</w:t>
            </w:r>
          </w:p>
        </w:tc>
        <w:tc>
          <w:tcPr>
            <w:tcW w:type="dxa" w:w="91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Dilek ve temenniler; gündeme eklenmesi önerilen hususların görüşülmesi ve kapanış.</w:t>
            </w:r>
          </w:p>
        </w:tc>
      </w:tr>
    </w:tbl>
    <w:p>
      <w:r>
        <w:br w:type="page"/>
      </w:r>
    </w:p>
    <w:p>
      <w:pPr>
        <w:pStyle w:val="Heading1"/>
      </w:pPr>
      <w:r>
        <w:t>Örnek Karar Taslağı</w:t>
      </w:r>
    </w:p>
    <w:tbl>
      <w:tblPr>
        <w:tblW w:type="dxa" w:w="9840"/>
        <w:tblLayout w:type="fixed"/>
        <w:tblLook w:firstColumn="1" w:firstRow="1" w:lastColumn="0" w:lastRow="0" w:noHBand="0" w:noVBand="1" w:val="04A0"/>
        <w:jc w:val="left"/>
        <w:tblInd w:w="0" w:type="dxa"/>
        <w:tblBorders>
          <w:top w:val="single" w:sz="6" w:color="AAB4C0"/>
          <w:left w:val="single" w:sz="6" w:color="AAB4C0"/>
          <w:bottom w:val="single" w:sz="6" w:color="AAB4C0"/>
          <w:right w:val="single" w:sz="6" w:color="AAB4C0"/>
          <w:insideH w:val="single" w:sz="6" w:color="AAB4C0"/>
          <w:insideV w:val="single" w:sz="6" w:color="AAB4C0"/>
        </w:tblBorders>
      </w:tblPr>
      <w:tblGrid>
        <w:gridCol w:w="720"/>
        <w:gridCol w:w="9120"/>
      </w:tblGrid>
      <w:tr>
        <w:trPr>
          <w:tblHeader w:val="true"/>
        </w:trPr>
        <w:tc>
          <w:tcPr>
            <w:tcW w:type="dxa" w:w="7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9F1239"/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9"/>
              </w:rPr>
              <w:t>No</w:t>
            </w:r>
          </w:p>
        </w:tc>
        <w:tc>
          <w:tcPr>
            <w:tcW w:type="dxa" w:w="91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9F1239"/>
          </w:tcPr>
          <w:p>
            <w:pPr>
              <w:jc w:val="left"/>
            </w:pPr>
            <w:r>
              <w:rPr>
                <w:rFonts w:ascii="Arial" w:hAnsi="Arial"/>
                <w:b/>
                <w:i w:val="0"/>
                <w:color w:val="FFFFFF"/>
                <w:sz w:val="19"/>
              </w:rPr>
              <w:t>Karar Taslağı</w:t>
            </w:r>
          </w:p>
        </w:tc>
      </w:tr>
      <w:tr>
        <w:tc>
          <w:tcPr>
            <w:tcW w:type="dxa" w:w="7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9F1239"/>
                <w:sz w:val="18"/>
              </w:rPr>
              <w:t>1</w:t>
            </w:r>
          </w:p>
        </w:tc>
        <w:tc>
          <w:tcPr>
            <w:tcW w:type="dxa" w:w="91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Bir önceki kurul kararlarının gerçekleşme durumunun dönem içinde izlenmesine ve sorumluların okul yönetimine bilgi vermesine.</w:t>
            </w:r>
          </w:p>
        </w:tc>
      </w:tr>
      <w:tr>
        <w:tc>
          <w:tcPr>
            <w:tcW w:type="dxa" w:w="7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9F1239"/>
                <w:sz w:val="18"/>
              </w:rPr>
              <w:t>2</w:t>
            </w:r>
          </w:p>
        </w:tc>
        <w:tc>
          <w:tcPr>
            <w:tcW w:type="dxa" w:w="91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Yıllık plan, zümre ve kurul çalışmalarının çalışma takvimine uygun biçimde yürütülmesine.</w:t>
            </w:r>
          </w:p>
        </w:tc>
      </w:tr>
      <w:tr>
        <w:tc>
          <w:tcPr>
            <w:tcW w:type="dxa" w:w="7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9F1239"/>
                <w:sz w:val="18"/>
              </w:rPr>
              <w:t>3</w:t>
            </w:r>
          </w:p>
        </w:tc>
        <w:tc>
          <w:tcPr>
            <w:tcW w:type="dxa" w:w="91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Güncel Bakanlık kararları ve mevzuat değişikliklerinin personele duyurulmasına; MEBBİS ve e-Okul işlemlerinin zamanında tamamlanmasına.</w:t>
            </w:r>
          </w:p>
        </w:tc>
      </w:tr>
      <w:tr>
        <w:tc>
          <w:tcPr>
            <w:tcW w:type="dxa" w:w="7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9F1239"/>
                <w:sz w:val="18"/>
              </w:rPr>
              <w:t>4</w:t>
            </w:r>
          </w:p>
        </w:tc>
        <w:tc>
          <w:tcPr>
            <w:tcW w:type="dxa" w:w="91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Öğretim programlarının Türkiye Yüzyılı Maarif Modeli doğrultusunda öğrenci merkezli, beceri temelli ve bütüncül biçimde uygulanmasına.</w:t>
            </w:r>
          </w:p>
        </w:tc>
      </w:tr>
      <w:tr>
        <w:tc>
          <w:tcPr>
            <w:tcW w:type="dxa" w:w="7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9F1239"/>
                <w:sz w:val="18"/>
              </w:rPr>
              <w:t>5</w:t>
            </w:r>
          </w:p>
        </w:tc>
        <w:tc>
          <w:tcPr>
            <w:tcW w:type="dxa" w:w="91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Başarı, devam ve devamsızlık verilerinin düzenli izlenmesine; risk altındaki öğrenciler için erken müdahale planı hazırlanmasına.</w:t>
            </w:r>
          </w:p>
        </w:tc>
      </w:tr>
      <w:tr>
        <w:tc>
          <w:tcPr>
            <w:tcW w:type="dxa" w:w="7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9F1239"/>
                <w:sz w:val="18"/>
              </w:rPr>
              <w:t>6</w:t>
            </w:r>
          </w:p>
        </w:tc>
        <w:tc>
          <w:tcPr>
            <w:tcW w:type="dxa" w:w="91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Özel eğitim ihtiyacı bulunan öğrenciler için BEP ve destek eğitim odası süreçlerinin mevzuata uygun yürütülmesine.</w:t>
            </w:r>
          </w:p>
        </w:tc>
      </w:tr>
      <w:tr>
        <w:tc>
          <w:tcPr>
            <w:tcW w:type="dxa" w:w="7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9F1239"/>
                <w:sz w:val="18"/>
              </w:rPr>
              <w:t>7</w:t>
            </w:r>
          </w:p>
        </w:tc>
        <w:tc>
          <w:tcPr>
            <w:tcW w:type="dxa" w:w="91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Okul güvenliği, tahliye, nöbet ve ziyaretçi girişlerine ilişkin tedbirlerin eksiksiz uygulanmasına.</w:t>
            </w:r>
          </w:p>
        </w:tc>
      </w:tr>
      <w:tr>
        <w:tc>
          <w:tcPr>
            <w:tcW w:type="dxa" w:w="7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9F1239"/>
                <w:sz w:val="18"/>
              </w:rPr>
              <w:t>8</w:t>
            </w:r>
          </w:p>
        </w:tc>
        <w:tc>
          <w:tcPr>
            <w:tcW w:type="dxa" w:w="91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Dijital esenlik ve güvenli internet çalışmalarına yer verilmesine; sınıf içi cep telefonu kullanımına ilişkin Bakanlık talimatlarının uygulanmasına.</w:t>
            </w:r>
          </w:p>
        </w:tc>
      </w:tr>
      <w:tr>
        <w:tc>
          <w:tcPr>
            <w:tcW w:type="dxa" w:w="7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9F1239"/>
                <w:sz w:val="18"/>
              </w:rPr>
              <w:t>9</w:t>
            </w:r>
          </w:p>
        </w:tc>
        <w:tc>
          <w:tcPr>
            <w:tcW w:type="dxa" w:w="91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Öğrenci kulüpleri ve sosyal sorumluluk faaliyetlerinin öğrenci katılımını artıracak şekilde yıllık plana bağlanmasına.</w:t>
            </w:r>
          </w:p>
        </w:tc>
      </w:tr>
      <w:tr>
        <w:tc>
          <w:tcPr>
            <w:tcW w:type="dxa" w:w="7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9F1239"/>
                <w:sz w:val="18"/>
              </w:rPr>
              <w:t>10</w:t>
            </w:r>
          </w:p>
        </w:tc>
        <w:tc>
          <w:tcPr>
            <w:tcW w:type="dxa" w:w="91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Veli görüşmelerinin Okul Randevu Sistemi üzerinden planlanmasına ve veli bilgilendirmelerinin kayıtlı yürütülmesine.</w:t>
            </w:r>
          </w:p>
        </w:tc>
      </w:tr>
      <w:tr>
        <w:tc>
          <w:tcPr>
            <w:tcW w:type="dxa" w:w="7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9F1239"/>
                <w:sz w:val="18"/>
              </w:rPr>
              <w:t>11</w:t>
            </w:r>
          </w:p>
        </w:tc>
        <w:tc>
          <w:tcPr>
            <w:tcW w:type="dxa" w:w="91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Okul sağlığı, hijyen ve dengeli beslenme çalışmalarının ilgili komisyonlarca izlenmesine.</w:t>
            </w:r>
          </w:p>
        </w:tc>
      </w:tr>
      <w:tr>
        <w:tc>
          <w:tcPr>
            <w:tcW w:type="dxa" w:w="7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9F1239"/>
                <w:sz w:val="18"/>
              </w:rPr>
              <w:t>12</w:t>
            </w:r>
          </w:p>
        </w:tc>
        <w:tc>
          <w:tcPr>
            <w:tcW w:type="dxa" w:w="91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Kurul ve komisyon görevlendirmelerinin ek çizelgede belirtilen şekilde yapılmasına.</w:t>
            </w:r>
          </w:p>
        </w:tc>
      </w:tr>
      <w:tr>
        <w:tc>
          <w:tcPr>
            <w:tcW w:type="dxa" w:w="7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9F1239"/>
                <w:sz w:val="18"/>
              </w:rPr>
              <w:t>13</w:t>
            </w:r>
          </w:p>
        </w:tc>
        <w:tc>
          <w:tcPr>
            <w:tcW w:type="dxa" w:w="91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Alınan kararların okul müdürünün onayından sonra uygulanmasına ve sonuçlarının bir sonraki kurulda değerlendirilmesine.</w:t>
            </w:r>
          </w:p>
        </w:tc>
      </w:tr>
      <w:tr>
        <w:tc>
          <w:tcPr>
            <w:tcW w:type="dxa" w:w="7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9F1239"/>
                <w:sz w:val="18"/>
              </w:rPr>
              <w:t>14</w:t>
            </w:r>
          </w:p>
        </w:tc>
        <w:tc>
          <w:tcPr>
            <w:tcW w:type="dxa" w:w="91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Hazırlık ve 9. sınıf uyum çalışmalarının rehberlik servisi ile sınıf rehber öğretmenleri tarafından yıllık plana bağlanmasına.</w:t>
            </w:r>
          </w:p>
        </w:tc>
      </w:tr>
      <w:tr>
        <w:tc>
          <w:tcPr>
            <w:tcW w:type="dxa" w:w="7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9F1239"/>
                <w:sz w:val="18"/>
              </w:rPr>
              <w:t>15</w:t>
            </w:r>
          </w:p>
        </w:tc>
        <w:tc>
          <w:tcPr>
            <w:tcW w:type="dxa" w:w="91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Sınıf geçme, sorumluluk sınavı ve devamsızlık işlemlerinin güncel Ortaöğretim Kurumları Yönetmeliği doğrultusunda yürütülmesine.</w:t>
            </w:r>
          </w:p>
        </w:tc>
      </w:tr>
      <w:tr>
        <w:tc>
          <w:tcPr>
            <w:tcW w:type="dxa" w:w="7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9F1239"/>
                <w:sz w:val="18"/>
              </w:rPr>
              <w:t>16</w:t>
            </w:r>
          </w:p>
        </w:tc>
        <w:tc>
          <w:tcPr>
            <w:tcW w:type="dxa" w:w="91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Ortak yazılı sınavlar ve okul sınav takviminin Bakanlık kılavuzlarına uygun hazırlanmasına.</w:t>
            </w:r>
          </w:p>
        </w:tc>
      </w:tr>
      <w:tr>
        <w:tc>
          <w:tcPr>
            <w:tcW w:type="dxa" w:w="7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9F1239"/>
                <w:sz w:val="18"/>
              </w:rPr>
              <w:t>17</w:t>
            </w:r>
          </w:p>
        </w:tc>
        <w:tc>
          <w:tcPr>
            <w:tcW w:type="dxa" w:w="91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Bakanlık dışında hazırlanan sınav niteliğindeki uygulamaların okulda yapılmamasına ve öğrencilere satın aldırılmamasına.</w:t>
            </w:r>
          </w:p>
        </w:tc>
      </w:tr>
      <w:tr>
        <w:tc>
          <w:tcPr>
            <w:tcW w:type="dxa" w:w="7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9F1239"/>
                <w:sz w:val="18"/>
              </w:rPr>
              <w:t>18</w:t>
            </w:r>
          </w:p>
        </w:tc>
        <w:tc>
          <w:tcPr>
            <w:tcW w:type="dxa" w:w="91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YKS ve kariyer rehberliğinin sınıf düzeylerine göre öğrenci ve veli boyutuyla planlanmasına.</w:t>
            </w:r>
          </w:p>
        </w:tc>
      </w:tr>
      <w:tr>
        <w:tc>
          <w:tcPr>
            <w:tcW w:type="dxa" w:w="7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9F1239"/>
                <w:sz w:val="18"/>
              </w:rPr>
              <w:t>19</w:t>
            </w:r>
          </w:p>
        </w:tc>
        <w:tc>
          <w:tcPr>
            <w:tcW w:type="dxa" w:w="91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DYK planlamasında öğrenci ihtiyacı, öğretmen imkânı, devam ve verimlilik ölçütlerinin esas alınmasına.</w:t>
            </w:r>
          </w:p>
        </w:tc>
      </w:tr>
      <w:tr>
        <w:tc>
          <w:tcPr>
            <w:tcW w:type="dxa" w:w="7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9F1239"/>
                <w:sz w:val="18"/>
              </w:rPr>
              <w:t>20</w:t>
            </w:r>
          </w:p>
        </w:tc>
        <w:tc>
          <w:tcPr>
            <w:tcW w:type="dxa" w:w="91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Sınıf/şube öğretmenler kurullarının kasım ve nisan ayları içinde planlanmasına.</w:t>
            </w:r>
          </w:p>
        </w:tc>
      </w:tr>
      <w:tr>
        <w:tc>
          <w:tcPr>
            <w:tcW w:type="dxa" w:w="7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9F1239"/>
                <w:sz w:val="18"/>
              </w:rPr>
              <w:t>21</w:t>
            </w:r>
          </w:p>
        </w:tc>
        <w:tc>
          <w:tcPr>
            <w:tcW w:type="dxa" w:w="91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Mezuniyet etkinliklerinin öğrenci kimliğine ve toplumsal değerlere uygun, velilere ek mali yük oluşturmayacak biçimde yürütülmesine.</w:t>
            </w:r>
          </w:p>
        </w:tc>
      </w:tr>
      <w:tr>
        <w:tc>
          <w:tcPr>
            <w:tcW w:type="dxa" w:w="7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9F1239"/>
                <w:sz w:val="18"/>
              </w:rPr>
              <w:t>22</w:t>
            </w:r>
          </w:p>
        </w:tc>
        <w:tc>
          <w:tcPr>
            <w:tcW w:type="dxa" w:w="91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Pansiyonlu okullarda nöbet ve belletici öğretmenlik işlerinin ilgili mevzuata göre planlanmasına (varsa).</w:t>
            </w:r>
          </w:p>
        </w:tc>
      </w:tr>
      <w:tr>
        <w:tc>
          <w:tcPr>
            <w:tcW w:type="dxa" w:w="7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i w:val="0"/>
                <w:color w:val="9F1239"/>
                <w:sz w:val="18"/>
              </w:rPr>
              <w:t>23</w:t>
            </w:r>
          </w:p>
        </w:tc>
        <w:tc>
          <w:tcPr>
            <w:tcW w:type="dxa" w:w="91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Mesleki ve teknik ortaöğretim kurumlarında iş sağlığı ve güvenliği tedbirlerinin eksiksiz uygulanmasına ve MEB-İMES’in zorunlu kullanılmasına (uygunsa).</w:t>
            </w:r>
          </w:p>
        </w:tc>
      </w:tr>
    </w:tbl>
    <w:p>
      <w:pPr>
        <w:spacing w:before="140"/>
      </w:pPr>
      <w:r>
        <w:rPr>
          <w:rFonts w:ascii="Arial" w:hAnsi="Arial"/>
          <w:b w:val="0"/>
          <w:i/>
          <w:color w:val="5B6573"/>
          <w:sz w:val="18"/>
        </w:rPr>
        <w:t>Not: Nihai kararlar toplantıda görüşülerek alınmalı; sorumlu kişi/komisyon ve tamamlanma tarihi okulun koşullarına göre ayrıca belirtilmelidir.</w:t>
      </w:r>
    </w:p>
    <w:p>
      <w:pPr>
        <w:pStyle w:val="Heading1"/>
      </w:pPr>
      <w:r>
        <w:t>Kurul ve Komisyon Görevlendirmeleri</w:t>
      </w:r>
    </w:p>
    <w:tbl>
      <w:tblPr>
        <w:tblW w:type="dxa" w:w="9840"/>
        <w:tblLayout w:type="fixed"/>
        <w:tblLook w:firstColumn="1" w:firstRow="1" w:lastColumn="0" w:lastRow="0" w:noHBand="0" w:noVBand="1" w:val="04A0"/>
        <w:jc w:val="left"/>
        <w:tblInd w:w="0" w:type="dxa"/>
        <w:tblBorders>
          <w:top w:val="single" w:sz="6" w:color="AAB4C0"/>
          <w:left w:val="single" w:sz="6" w:color="AAB4C0"/>
          <w:bottom w:val="single" w:sz="6" w:color="AAB4C0"/>
          <w:right w:val="single" w:sz="6" w:color="AAB4C0"/>
          <w:insideH w:val="single" w:sz="6" w:color="AAB4C0"/>
          <w:insideV w:val="single" w:sz="6" w:color="AAB4C0"/>
        </w:tblBorders>
      </w:tblPr>
      <w:tblGrid>
        <w:gridCol w:w="3650"/>
        <w:gridCol w:w="3095"/>
        <w:gridCol w:w="3095"/>
      </w:tblGrid>
      <w:tr>
        <w:trPr>
          <w:tblHeader w:val="true"/>
          <w:cantSplit/>
        </w:trPr>
        <w:tc>
          <w:tcPr>
            <w:tcW w:type="dxa" w:w="36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9F1239"/>
          </w:tcPr>
          <w:p>
            <w:r>
              <w:rPr>
                <w:rFonts w:ascii="Arial" w:hAnsi="Arial"/>
                <w:b/>
                <w:i w:val="0"/>
                <w:color w:val="FFFFFF"/>
                <w:sz w:val="18"/>
              </w:rPr>
              <w:t>Kurul/Komisyon</w:t>
            </w:r>
          </w:p>
        </w:tc>
        <w:tc>
          <w:tcPr>
            <w:tcW w:type="dxa" w:w="309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9F1239"/>
          </w:tcPr>
          <w:p>
            <w:r>
              <w:rPr>
                <w:rFonts w:ascii="Arial" w:hAnsi="Arial"/>
                <w:b/>
                <w:i w:val="0"/>
                <w:color w:val="FFFFFF"/>
                <w:sz w:val="18"/>
              </w:rPr>
              <w:t>Asıl Üyeler</w:t>
            </w:r>
          </w:p>
        </w:tc>
        <w:tc>
          <w:tcPr>
            <w:tcW w:type="dxa" w:w="309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9F1239"/>
          </w:tcPr>
          <w:p>
            <w:r>
              <w:rPr>
                <w:rFonts w:ascii="Arial" w:hAnsi="Arial"/>
                <w:b/>
                <w:i w:val="0"/>
                <w:color w:val="FFFFFF"/>
                <w:sz w:val="18"/>
              </w:rPr>
              <w:t>Yedek/Not</w:t>
            </w:r>
          </w:p>
        </w:tc>
      </w:tr>
      <w:tr>
        <w:trPr>
          <w:cantSplit/>
        </w:trPr>
        <w:tc>
          <w:tcPr>
            <w:tcW w:type="dxa" w:w="36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i w:val="0"/>
                <w:color w:val="17365D"/>
                <w:sz w:val="18"/>
              </w:rPr>
              <w:t>Sosyal Etkinlikler / Öğrenci Kulüpleri</w:t>
            </w:r>
          </w:p>
        </w:tc>
        <w:tc>
          <w:tcPr>
            <w:tcW w:type="dxa" w:w="309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  <w:br/>
            </w:r>
          </w:p>
        </w:tc>
        <w:tc>
          <w:tcPr>
            <w:tcW w:type="dxa" w:w="309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  <w:br/>
            </w:r>
          </w:p>
        </w:tc>
      </w:tr>
      <w:tr>
        <w:trPr>
          <w:cantSplit/>
        </w:trPr>
        <w:tc>
          <w:tcPr>
            <w:tcW w:type="dxa" w:w="365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i w:val="0"/>
                <w:color w:val="17365D"/>
                <w:sz w:val="18"/>
              </w:rPr>
              <w:t>Rehberlik ve Psikososyal Destek</w:t>
            </w:r>
          </w:p>
        </w:tc>
        <w:tc>
          <w:tcPr>
            <w:tcW w:type="dxa" w:w="3095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  <w:br/>
            </w:r>
          </w:p>
        </w:tc>
        <w:tc>
          <w:tcPr>
            <w:tcW w:type="dxa" w:w="3095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  <w:br/>
            </w:r>
          </w:p>
        </w:tc>
      </w:tr>
      <w:tr>
        <w:trPr>
          <w:cantSplit/>
        </w:trPr>
        <w:tc>
          <w:tcPr>
            <w:tcW w:type="dxa" w:w="36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i w:val="0"/>
                <w:color w:val="17365D"/>
                <w:sz w:val="18"/>
              </w:rPr>
              <w:t>BEP Geliştirme Birimi</w:t>
            </w:r>
          </w:p>
        </w:tc>
        <w:tc>
          <w:tcPr>
            <w:tcW w:type="dxa" w:w="309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  <w:br/>
            </w:r>
          </w:p>
        </w:tc>
        <w:tc>
          <w:tcPr>
            <w:tcW w:type="dxa" w:w="309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  <w:br/>
            </w:r>
          </w:p>
        </w:tc>
      </w:tr>
      <w:tr>
        <w:trPr>
          <w:cantSplit/>
        </w:trPr>
        <w:tc>
          <w:tcPr>
            <w:tcW w:type="dxa" w:w="365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i w:val="0"/>
                <w:color w:val="17365D"/>
                <w:sz w:val="18"/>
              </w:rPr>
              <w:t>İş Sağlığı ve Güvenliği / Acil Durum</w:t>
            </w:r>
          </w:p>
        </w:tc>
        <w:tc>
          <w:tcPr>
            <w:tcW w:type="dxa" w:w="3095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  <w:br/>
            </w:r>
          </w:p>
        </w:tc>
        <w:tc>
          <w:tcPr>
            <w:tcW w:type="dxa" w:w="3095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  <w:br/>
            </w:r>
          </w:p>
        </w:tc>
      </w:tr>
      <w:tr>
        <w:trPr>
          <w:cantSplit/>
        </w:trPr>
        <w:tc>
          <w:tcPr>
            <w:tcW w:type="dxa" w:w="36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i w:val="0"/>
                <w:color w:val="17365D"/>
                <w:sz w:val="18"/>
              </w:rPr>
              <w:t>Okul Sağlığı ve Beslenme</w:t>
            </w:r>
          </w:p>
        </w:tc>
        <w:tc>
          <w:tcPr>
            <w:tcW w:type="dxa" w:w="309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  <w:br/>
            </w:r>
          </w:p>
        </w:tc>
        <w:tc>
          <w:tcPr>
            <w:tcW w:type="dxa" w:w="309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  <w:br/>
            </w:r>
          </w:p>
        </w:tc>
      </w:tr>
      <w:tr>
        <w:trPr>
          <w:cantSplit/>
        </w:trPr>
        <w:tc>
          <w:tcPr>
            <w:tcW w:type="dxa" w:w="365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i w:val="0"/>
                <w:color w:val="17365D"/>
                <w:sz w:val="18"/>
              </w:rPr>
              <w:t>Eser İnceleme ve Seçme</w:t>
            </w:r>
          </w:p>
        </w:tc>
        <w:tc>
          <w:tcPr>
            <w:tcW w:type="dxa" w:w="3095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  <w:br/>
            </w:r>
          </w:p>
        </w:tc>
        <w:tc>
          <w:tcPr>
            <w:tcW w:type="dxa" w:w="3095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  <w:br/>
            </w:r>
          </w:p>
        </w:tc>
      </w:tr>
      <w:tr>
        <w:trPr>
          <w:cantSplit/>
        </w:trPr>
        <w:tc>
          <w:tcPr>
            <w:tcW w:type="dxa" w:w="36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i w:val="0"/>
                <w:color w:val="17365D"/>
                <w:sz w:val="18"/>
              </w:rPr>
              <w:t>Satın Alma / Muayene ve Kabul (gerektiğinde)</w:t>
            </w:r>
          </w:p>
        </w:tc>
        <w:tc>
          <w:tcPr>
            <w:tcW w:type="dxa" w:w="309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  <w:br/>
            </w:r>
          </w:p>
        </w:tc>
        <w:tc>
          <w:tcPr>
            <w:tcW w:type="dxa" w:w="309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  <w:br/>
            </w:r>
          </w:p>
        </w:tc>
      </w:tr>
      <w:tr>
        <w:trPr>
          <w:cantSplit/>
        </w:trPr>
        <w:tc>
          <w:tcPr>
            <w:tcW w:type="dxa" w:w="365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i w:val="0"/>
                <w:color w:val="17365D"/>
                <w:sz w:val="18"/>
              </w:rPr>
              <w:t>Sınavlar ve Sorumluluk Sınavları</w:t>
            </w:r>
          </w:p>
        </w:tc>
        <w:tc>
          <w:tcPr>
            <w:tcW w:type="dxa" w:w="3095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  <w:br/>
            </w:r>
          </w:p>
        </w:tc>
        <w:tc>
          <w:tcPr>
            <w:tcW w:type="dxa" w:w="3095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  <w:br/>
            </w:r>
          </w:p>
        </w:tc>
      </w:tr>
      <w:tr>
        <w:trPr>
          <w:cantSplit/>
        </w:trPr>
        <w:tc>
          <w:tcPr>
            <w:tcW w:type="dxa" w:w="365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/>
                <w:i w:val="0"/>
                <w:color w:val="17365D"/>
                <w:sz w:val="18"/>
              </w:rPr>
              <w:t>Pansiyon Hizmetleri (varsa)</w:t>
            </w:r>
          </w:p>
        </w:tc>
        <w:tc>
          <w:tcPr>
            <w:tcW w:type="dxa" w:w="309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  <w:br/>
            </w:r>
          </w:p>
        </w:tc>
        <w:tc>
          <w:tcPr>
            <w:tcW w:type="dxa" w:w="3095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  <w:br/>
            </w:r>
          </w:p>
        </w:tc>
      </w:tr>
    </w:tbl>
    <w:p>
      <w:pPr>
        <w:pStyle w:val="Heading1"/>
      </w:pPr>
      <w:r>
        <w:t>Katılımcı ve İmza Çizelgesi</w:t>
      </w:r>
    </w:p>
    <w:tbl>
      <w:tblPr>
        <w:tblW w:type="dxa" w:w="9840"/>
        <w:tblLayout w:type="fixed"/>
        <w:tblLook w:firstColumn="1" w:firstRow="1" w:lastColumn="0" w:lastRow="0" w:noHBand="0" w:noVBand="1" w:val="04A0"/>
        <w:jc w:val="left"/>
        <w:tblInd w:w="0" w:type="dxa"/>
        <w:tblBorders>
          <w:top w:val="single" w:sz="6" w:color="AAB4C0"/>
          <w:left w:val="single" w:sz="6" w:color="AAB4C0"/>
          <w:bottom w:val="single" w:sz="6" w:color="AAB4C0"/>
          <w:right w:val="single" w:sz="6" w:color="AAB4C0"/>
          <w:insideH w:val="single" w:sz="6" w:color="AAB4C0"/>
          <w:insideV w:val="single" w:sz="6" w:color="AAB4C0"/>
        </w:tblBorders>
      </w:tblPr>
      <w:tblGrid>
        <w:gridCol w:w="720"/>
        <w:gridCol w:w="6100"/>
        <w:gridCol w:w="3020"/>
      </w:tblGrid>
      <w:tr>
        <w:trPr>
          <w:tblHeader w:val="true"/>
          <w:cantSplit/>
        </w:trPr>
        <w:tc>
          <w:tcPr>
            <w:tcW w:type="dxa" w:w="7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9F1239"/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No</w:t>
            </w:r>
          </w:p>
        </w:tc>
        <w:tc>
          <w:tcPr>
            <w:tcW w:type="dxa" w:w="61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9F1239"/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Adı Soyadı / Görevi</w:t>
            </w:r>
          </w:p>
        </w:tc>
        <w:tc>
          <w:tcPr>
            <w:tcW w:type="dxa" w:w="30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9F1239"/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8"/>
              </w:rPr>
              <w:t>İmza</w:t>
            </w:r>
          </w:p>
        </w:tc>
      </w:tr>
      <w:tr>
        <w:trPr>
          <w:cantSplit/>
          <w:trHeight w:val="510" w:hRule="exact"/>
        </w:trPr>
        <w:tc>
          <w:tcPr>
            <w:tcW w:type="dxa" w:w="7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1</w:t>
            </w:r>
          </w:p>
        </w:tc>
        <w:tc>
          <w:tcPr>
            <w:tcW w:type="dxa" w:w="61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</w:r>
          </w:p>
        </w:tc>
        <w:tc>
          <w:tcPr>
            <w:tcW w:type="dxa" w:w="30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</w:r>
          </w:p>
        </w:tc>
      </w:tr>
      <w:tr>
        <w:trPr>
          <w:cantSplit/>
          <w:trHeight w:val="510" w:hRule="exact"/>
        </w:trPr>
        <w:tc>
          <w:tcPr>
            <w:tcW w:type="dxa" w:w="7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2</w:t>
            </w:r>
          </w:p>
        </w:tc>
        <w:tc>
          <w:tcPr>
            <w:tcW w:type="dxa" w:w="610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</w:r>
          </w:p>
        </w:tc>
        <w:tc>
          <w:tcPr>
            <w:tcW w:type="dxa" w:w="30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</w:r>
          </w:p>
        </w:tc>
      </w:tr>
      <w:tr>
        <w:trPr>
          <w:cantSplit/>
          <w:trHeight w:val="510" w:hRule="exact"/>
        </w:trPr>
        <w:tc>
          <w:tcPr>
            <w:tcW w:type="dxa" w:w="7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3</w:t>
            </w:r>
          </w:p>
        </w:tc>
        <w:tc>
          <w:tcPr>
            <w:tcW w:type="dxa" w:w="61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</w:r>
          </w:p>
        </w:tc>
        <w:tc>
          <w:tcPr>
            <w:tcW w:type="dxa" w:w="30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</w:r>
          </w:p>
        </w:tc>
      </w:tr>
      <w:tr>
        <w:trPr>
          <w:cantSplit/>
          <w:trHeight w:val="510" w:hRule="exact"/>
        </w:trPr>
        <w:tc>
          <w:tcPr>
            <w:tcW w:type="dxa" w:w="7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4</w:t>
            </w:r>
          </w:p>
        </w:tc>
        <w:tc>
          <w:tcPr>
            <w:tcW w:type="dxa" w:w="610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</w:r>
          </w:p>
        </w:tc>
        <w:tc>
          <w:tcPr>
            <w:tcW w:type="dxa" w:w="30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</w:r>
          </w:p>
        </w:tc>
      </w:tr>
      <w:tr>
        <w:trPr>
          <w:cantSplit/>
          <w:trHeight w:val="510" w:hRule="exact"/>
        </w:trPr>
        <w:tc>
          <w:tcPr>
            <w:tcW w:type="dxa" w:w="7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5</w:t>
            </w:r>
          </w:p>
        </w:tc>
        <w:tc>
          <w:tcPr>
            <w:tcW w:type="dxa" w:w="61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</w:r>
          </w:p>
        </w:tc>
        <w:tc>
          <w:tcPr>
            <w:tcW w:type="dxa" w:w="30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</w:r>
          </w:p>
        </w:tc>
      </w:tr>
      <w:tr>
        <w:trPr>
          <w:cantSplit/>
          <w:trHeight w:val="510" w:hRule="exact"/>
        </w:trPr>
        <w:tc>
          <w:tcPr>
            <w:tcW w:type="dxa" w:w="7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6</w:t>
            </w:r>
          </w:p>
        </w:tc>
        <w:tc>
          <w:tcPr>
            <w:tcW w:type="dxa" w:w="610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</w:r>
          </w:p>
        </w:tc>
        <w:tc>
          <w:tcPr>
            <w:tcW w:type="dxa" w:w="30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</w:r>
          </w:p>
        </w:tc>
      </w:tr>
      <w:tr>
        <w:trPr>
          <w:cantSplit/>
          <w:trHeight w:val="510" w:hRule="exact"/>
        </w:trPr>
        <w:tc>
          <w:tcPr>
            <w:tcW w:type="dxa" w:w="7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7</w:t>
            </w:r>
          </w:p>
        </w:tc>
        <w:tc>
          <w:tcPr>
            <w:tcW w:type="dxa" w:w="61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</w:r>
          </w:p>
        </w:tc>
        <w:tc>
          <w:tcPr>
            <w:tcW w:type="dxa" w:w="30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</w:r>
          </w:p>
        </w:tc>
      </w:tr>
      <w:tr>
        <w:trPr>
          <w:cantSplit/>
          <w:trHeight w:val="510" w:hRule="exact"/>
        </w:trPr>
        <w:tc>
          <w:tcPr>
            <w:tcW w:type="dxa" w:w="7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8</w:t>
            </w:r>
          </w:p>
        </w:tc>
        <w:tc>
          <w:tcPr>
            <w:tcW w:type="dxa" w:w="610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</w:r>
          </w:p>
        </w:tc>
        <w:tc>
          <w:tcPr>
            <w:tcW w:type="dxa" w:w="30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</w:r>
          </w:p>
        </w:tc>
      </w:tr>
      <w:tr>
        <w:trPr>
          <w:cantSplit/>
          <w:trHeight w:val="510" w:hRule="exact"/>
        </w:trPr>
        <w:tc>
          <w:tcPr>
            <w:tcW w:type="dxa" w:w="7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9</w:t>
            </w:r>
          </w:p>
        </w:tc>
        <w:tc>
          <w:tcPr>
            <w:tcW w:type="dxa" w:w="61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</w:r>
          </w:p>
        </w:tc>
        <w:tc>
          <w:tcPr>
            <w:tcW w:type="dxa" w:w="30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</w:r>
          </w:p>
        </w:tc>
      </w:tr>
      <w:tr>
        <w:trPr>
          <w:cantSplit/>
          <w:trHeight w:val="510" w:hRule="exact"/>
        </w:trPr>
        <w:tc>
          <w:tcPr>
            <w:tcW w:type="dxa" w:w="7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10</w:t>
            </w:r>
          </w:p>
        </w:tc>
        <w:tc>
          <w:tcPr>
            <w:tcW w:type="dxa" w:w="610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</w:r>
          </w:p>
        </w:tc>
        <w:tc>
          <w:tcPr>
            <w:tcW w:type="dxa" w:w="30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</w:r>
          </w:p>
        </w:tc>
      </w:tr>
      <w:tr>
        <w:trPr>
          <w:cantSplit/>
          <w:trHeight w:val="510" w:hRule="exact"/>
        </w:trPr>
        <w:tc>
          <w:tcPr>
            <w:tcW w:type="dxa" w:w="7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11</w:t>
            </w:r>
          </w:p>
        </w:tc>
        <w:tc>
          <w:tcPr>
            <w:tcW w:type="dxa" w:w="61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</w:r>
          </w:p>
        </w:tc>
        <w:tc>
          <w:tcPr>
            <w:tcW w:type="dxa" w:w="30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</w:r>
          </w:p>
        </w:tc>
      </w:tr>
      <w:tr>
        <w:trPr>
          <w:cantSplit/>
          <w:trHeight w:val="510" w:hRule="exact"/>
        </w:trPr>
        <w:tc>
          <w:tcPr>
            <w:tcW w:type="dxa" w:w="7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12</w:t>
            </w:r>
          </w:p>
        </w:tc>
        <w:tc>
          <w:tcPr>
            <w:tcW w:type="dxa" w:w="610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</w:r>
          </w:p>
        </w:tc>
        <w:tc>
          <w:tcPr>
            <w:tcW w:type="dxa" w:w="30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</w:r>
          </w:p>
        </w:tc>
      </w:tr>
      <w:tr>
        <w:trPr>
          <w:cantSplit/>
          <w:trHeight w:val="510" w:hRule="exact"/>
        </w:trPr>
        <w:tc>
          <w:tcPr>
            <w:tcW w:type="dxa" w:w="7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13</w:t>
            </w:r>
          </w:p>
        </w:tc>
        <w:tc>
          <w:tcPr>
            <w:tcW w:type="dxa" w:w="61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</w:r>
          </w:p>
        </w:tc>
        <w:tc>
          <w:tcPr>
            <w:tcW w:type="dxa" w:w="30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</w:r>
          </w:p>
        </w:tc>
      </w:tr>
      <w:tr>
        <w:trPr>
          <w:cantSplit/>
          <w:trHeight w:val="510" w:hRule="exact"/>
        </w:trPr>
        <w:tc>
          <w:tcPr>
            <w:tcW w:type="dxa" w:w="7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14</w:t>
            </w:r>
          </w:p>
        </w:tc>
        <w:tc>
          <w:tcPr>
            <w:tcW w:type="dxa" w:w="610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</w:r>
          </w:p>
        </w:tc>
        <w:tc>
          <w:tcPr>
            <w:tcW w:type="dxa" w:w="30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</w:r>
          </w:p>
        </w:tc>
      </w:tr>
      <w:tr>
        <w:trPr>
          <w:cantSplit/>
          <w:trHeight w:val="510" w:hRule="exact"/>
        </w:trPr>
        <w:tc>
          <w:tcPr>
            <w:tcW w:type="dxa" w:w="7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15</w:t>
            </w:r>
          </w:p>
        </w:tc>
        <w:tc>
          <w:tcPr>
            <w:tcW w:type="dxa" w:w="61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</w:r>
          </w:p>
        </w:tc>
        <w:tc>
          <w:tcPr>
            <w:tcW w:type="dxa" w:w="30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</w:r>
          </w:p>
        </w:tc>
      </w:tr>
      <w:tr>
        <w:trPr>
          <w:cantSplit/>
          <w:trHeight w:val="510" w:hRule="exact"/>
        </w:trPr>
        <w:tc>
          <w:tcPr>
            <w:tcW w:type="dxa" w:w="7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16</w:t>
            </w:r>
          </w:p>
        </w:tc>
        <w:tc>
          <w:tcPr>
            <w:tcW w:type="dxa" w:w="610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</w:r>
          </w:p>
        </w:tc>
        <w:tc>
          <w:tcPr>
            <w:tcW w:type="dxa" w:w="30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</w:r>
          </w:p>
        </w:tc>
      </w:tr>
      <w:tr>
        <w:trPr>
          <w:cantSplit/>
          <w:trHeight w:val="510" w:hRule="exact"/>
        </w:trPr>
        <w:tc>
          <w:tcPr>
            <w:tcW w:type="dxa" w:w="7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17</w:t>
            </w:r>
          </w:p>
        </w:tc>
        <w:tc>
          <w:tcPr>
            <w:tcW w:type="dxa" w:w="61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</w:r>
          </w:p>
        </w:tc>
        <w:tc>
          <w:tcPr>
            <w:tcW w:type="dxa" w:w="30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</w:r>
          </w:p>
        </w:tc>
      </w:tr>
      <w:tr>
        <w:trPr>
          <w:cantSplit/>
          <w:trHeight w:val="510" w:hRule="exact"/>
        </w:trPr>
        <w:tc>
          <w:tcPr>
            <w:tcW w:type="dxa" w:w="7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18</w:t>
            </w:r>
          </w:p>
        </w:tc>
        <w:tc>
          <w:tcPr>
            <w:tcW w:type="dxa" w:w="610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</w:r>
          </w:p>
        </w:tc>
        <w:tc>
          <w:tcPr>
            <w:tcW w:type="dxa" w:w="30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</w:r>
          </w:p>
        </w:tc>
      </w:tr>
      <w:tr>
        <w:trPr>
          <w:cantSplit/>
          <w:trHeight w:val="510" w:hRule="exact"/>
        </w:trPr>
        <w:tc>
          <w:tcPr>
            <w:tcW w:type="dxa" w:w="7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19</w:t>
            </w:r>
          </w:p>
        </w:tc>
        <w:tc>
          <w:tcPr>
            <w:tcW w:type="dxa" w:w="61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</w:r>
          </w:p>
        </w:tc>
        <w:tc>
          <w:tcPr>
            <w:tcW w:type="dxa" w:w="30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</w:r>
          </w:p>
        </w:tc>
      </w:tr>
      <w:tr>
        <w:trPr>
          <w:cantSplit/>
          <w:trHeight w:val="510" w:hRule="exact"/>
        </w:trPr>
        <w:tc>
          <w:tcPr>
            <w:tcW w:type="dxa" w:w="7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20</w:t>
            </w:r>
          </w:p>
        </w:tc>
        <w:tc>
          <w:tcPr>
            <w:tcW w:type="dxa" w:w="610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</w:r>
          </w:p>
        </w:tc>
        <w:tc>
          <w:tcPr>
            <w:tcW w:type="dxa" w:w="30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</w:r>
          </w:p>
        </w:tc>
      </w:tr>
      <w:tr>
        <w:trPr>
          <w:cantSplit/>
          <w:trHeight w:val="510" w:hRule="exact"/>
        </w:trPr>
        <w:tc>
          <w:tcPr>
            <w:tcW w:type="dxa" w:w="7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21</w:t>
            </w:r>
          </w:p>
        </w:tc>
        <w:tc>
          <w:tcPr>
            <w:tcW w:type="dxa" w:w="61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</w:r>
          </w:p>
        </w:tc>
        <w:tc>
          <w:tcPr>
            <w:tcW w:type="dxa" w:w="30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</w:r>
          </w:p>
        </w:tc>
      </w:tr>
      <w:tr>
        <w:trPr>
          <w:cantSplit/>
          <w:trHeight w:val="510" w:hRule="exact"/>
        </w:trPr>
        <w:tc>
          <w:tcPr>
            <w:tcW w:type="dxa" w:w="7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22</w:t>
            </w:r>
          </w:p>
        </w:tc>
        <w:tc>
          <w:tcPr>
            <w:tcW w:type="dxa" w:w="610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</w:r>
          </w:p>
        </w:tc>
        <w:tc>
          <w:tcPr>
            <w:tcW w:type="dxa" w:w="30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</w:r>
          </w:p>
        </w:tc>
      </w:tr>
      <w:tr>
        <w:trPr>
          <w:cantSplit/>
          <w:trHeight w:val="510" w:hRule="exact"/>
        </w:trPr>
        <w:tc>
          <w:tcPr>
            <w:tcW w:type="dxa" w:w="7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23</w:t>
            </w:r>
          </w:p>
        </w:tc>
        <w:tc>
          <w:tcPr>
            <w:tcW w:type="dxa" w:w="61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</w:r>
          </w:p>
        </w:tc>
        <w:tc>
          <w:tcPr>
            <w:tcW w:type="dxa" w:w="30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</w:r>
          </w:p>
        </w:tc>
      </w:tr>
      <w:tr>
        <w:trPr>
          <w:cantSplit/>
          <w:trHeight w:val="510" w:hRule="exact"/>
        </w:trPr>
        <w:tc>
          <w:tcPr>
            <w:tcW w:type="dxa" w:w="7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24</w:t>
            </w:r>
          </w:p>
        </w:tc>
        <w:tc>
          <w:tcPr>
            <w:tcW w:type="dxa" w:w="610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</w:r>
          </w:p>
        </w:tc>
        <w:tc>
          <w:tcPr>
            <w:tcW w:type="dxa" w:w="3020"/>
            <w:shd w:fill="F8FAFC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</w:r>
          </w:p>
        </w:tc>
      </w:tr>
      <w:tr>
        <w:trPr>
          <w:cantSplit/>
          <w:trHeight w:val="510" w:hRule="exact"/>
        </w:trPr>
        <w:tc>
          <w:tcPr>
            <w:tcW w:type="dxa" w:w="7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t>25</w:t>
            </w:r>
          </w:p>
        </w:tc>
        <w:tc>
          <w:tcPr>
            <w:tcW w:type="dxa" w:w="61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</w:r>
          </w:p>
        </w:tc>
        <w:tc>
          <w:tcPr>
            <w:tcW w:type="dxa" w:w="302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Arial" w:hAnsi="Arial"/>
                <w:b w:val="0"/>
                <w:i w:val="0"/>
                <w:color w:val="1F2937"/>
                <w:sz w:val="18"/>
              </w:rPr>
              <w:br/>
            </w:r>
          </w:p>
        </w:tc>
      </w:tr>
    </w:tbl>
    <w:p>
      <w:pPr>
        <w:pStyle w:val="Heading1"/>
      </w:pPr>
      <w:r>
        <w:t>Resmî Kaynaklar</w:t>
      </w:r>
    </w:p>
    <w:p>
      <w:pPr>
        <w:pStyle w:val="ListBullet"/>
        <w:spacing w:after="80"/>
        <w:ind w:left="425" w:hanging="198"/>
      </w:pPr>
      <w:r>
        <w:rPr>
          <w:rFonts w:ascii="Arial" w:hAnsi="Arial"/>
          <w:b w:val="0"/>
          <w:i w:val="0"/>
          <w:color w:val="5B6573"/>
          <w:sz w:val="17"/>
        </w:rPr>
        <w:t>Millî Eğitim Bakanlığı Eğitim Kurulları ve Zümreleri Yönergesi (12.02.2025): https://meb.gov.tr/Mevzuat/liste.php?ara=5</w:t>
      </w:r>
    </w:p>
    <w:p>
      <w:pPr>
        <w:pStyle w:val="ListBullet"/>
        <w:spacing w:after="80"/>
        <w:ind w:left="425" w:hanging="198"/>
      </w:pPr>
      <w:r>
        <w:rPr>
          <w:rFonts w:ascii="Arial" w:hAnsi="Arial"/>
          <w:b w:val="0"/>
          <w:i w:val="0"/>
          <w:color w:val="5B6573"/>
          <w:sz w:val="17"/>
        </w:rPr>
        <w:t>2026-2027 Eğitim ve Öğretim Yılına İlişkin İş ve İşlemler Genelgesi: https://www.meb.gov.tr/2026-2027-egitim-ve-ogretim-yilina-iliskin-is-ve-islemler-konulu-genelge-yayimlandi/haber/41673/tr</w:t>
      </w:r>
    </w:p>
    <w:p>
      <w:pPr>
        <w:pStyle w:val="ListBullet"/>
        <w:spacing w:after="80"/>
        <w:ind w:left="425" w:hanging="198"/>
      </w:pPr>
      <w:r>
        <w:rPr>
          <w:rFonts w:ascii="Arial" w:hAnsi="Arial"/>
          <w:b w:val="0"/>
          <w:i w:val="0"/>
          <w:color w:val="5B6573"/>
          <w:sz w:val="17"/>
        </w:rPr>
        <w:t>2026-2027 Eğitim Öğretim Yılı Çalışma Takvimi: https://meb.gov.tr/2026-2027-egitim-ogretim-yili-takvimi-aciklandi/haber/41057/tr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020" w:right="1020" w:bottom="964" w:left="1020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/>
        <w:b w:val="0"/>
        <w:i w:val="0"/>
        <w:color w:val="5B6573"/>
        <w:sz w:val="17"/>
      </w:rPr>
      <w:t xml:space="preserve">Sayfa </w:t>
    </w:r>
    <w:fldSimple w:instr="PAGE">
      <w:r>
        <w:rPr>
          <w:rFonts w:ascii="Arial" w:hAnsi="Arial"/>
          <w:sz w:val="17"/>
        </w:rPr>
        <w:t>1</w:t>
      </w:r>
    </w:fldSimple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Arial" w:hAnsi="Arial"/>
        <w:b/>
        <w:i w:val="0"/>
        <w:color w:val="5B6573"/>
        <w:sz w:val="17"/>
      </w:rPr>
      <w:t>2026-2027 | Lise Öğretmenler Kurulu Taslağı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83" w:lineRule="auto"/>
    </w:pPr>
    <w:rPr>
      <w:rFonts w:ascii="Arial" w:hAnsi="Arial"/>
      <w:color w:val="1F2937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40"/>
      <w:outlineLvl w:val="0"/>
    </w:pPr>
    <w:rPr>
      <w:rFonts w:asciiTheme="majorHAnsi" w:eastAsiaTheme="majorEastAsia" w:hAnsiTheme="majorHAnsi" w:cstheme="majorBidi" w:ascii="Arial" w:hAnsi="Arial"/>
      <w:b/>
      <w:bCs/>
      <w:color w:val="9F1239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20" w:after="100"/>
      <w:outlineLvl w:val="1"/>
    </w:pPr>
    <w:rPr>
      <w:rFonts w:asciiTheme="majorHAnsi" w:eastAsiaTheme="majorEastAsia" w:hAnsiTheme="majorHAnsi" w:cstheme="majorBidi" w:ascii="Arial" w:hAnsi="Arial"/>
      <w:b/>
      <w:bCs/>
      <w:color w:val="9F1239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rial" w:hAnsi="Arial"/>
      <w:b/>
      <w:bCs/>
      <w:color w:val="17365D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2026-2027 Sene Başı Öğretmenler Kurulu - Lise</dc:title>
  <dc:subject>Gündem, karar taslağı, görevlendirme ve imza çizelgesi</dc:subject>
  <dc:creator>MEBBilgi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