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LİSESİ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10. SINIF MATEMATİK DERS PLANI</w:t>
      </w:r>
    </w:p>
    <w:p>
      <w:pPr>
        <w:pStyle w:val="Title"/>
        <w:spacing w:after="180"/>
      </w:pPr>
      <w:r>
        <w:rPr>
          <w:rFonts w:ascii="Times New Roman" w:hAnsi="Times New Roman"/>
          <w:b/>
          <w:color w:val="000000"/>
          <w:sz w:val="24"/>
        </w:rPr>
        <w:t>2.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Matematik</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10 / ............</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2. Hafta</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21-25 Eylül 2026</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6 ders saati</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21 Eylül 2026 Pazartesi</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Kullanılan Ders Kitabı / Sayfa</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Ders Planı</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Tema / Ünite</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Geometrik Şekiller</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İçerik Çerçevesi</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Dik Üçgende Trigonometrik Oranlar ve Trigonometrik Özdeşlikler</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10.1.1. Dik üçgende trigonometrik oranlara ve trigonometrik özdeşliklere ilişkin çıkarım yapabilme.</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Süreç Bileşenleri</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Trigonometrik oranlar arasındaki ilişkileri doğrulama, özdeşlikleri uygun temsillerle açıklama ve gerçek yaşam problemlerinde kullanılacak oranı seçme.</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Seçilen Beceriler</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Muhakeme, matematiksel temsil, iletişim, problem çözme, dijital ve görsel okuryazarlık.</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Değerler ve Eğilimler</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Çalışkanlık, sorumluluk, estetik, iş birliği ve açık fikirlilik.</w:t>
            </w:r>
          </w:p>
        </w:tc>
      </w:tr>
    </w:tbl>
    <w:p>
      <w:pPr>
        <w:pStyle w:val="Heading1"/>
        <w:keepNext/>
      </w:pPr>
      <w:r>
        <w:rPr>
          <w:rFonts w:ascii="Times New Roman" w:hAnsi="Times New Roman"/>
          <w:b/>
          <w:color w:val="000000"/>
          <w:sz w:val="22"/>
        </w:rPr>
        <w:t>Hazırbulunuşluk ve Ön Değerlendirme</w:t>
      </w:r>
    </w:p>
    <w:p>
      <w:pPr>
        <w:spacing w:after="8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sinüs, kosinüs, tanjant ve kotanjant oranlarını bir önceki haftadan ayırt edebildiği kabul edilir.</w:t>
      </w:r>
    </w:p>
    <w:p>
      <w:pPr>
        <w:spacing w:after="8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“Bir trigonometrik oranı seçerken bilinen ve aranan kenarlar bize nasıl yol gösterir?” sorusu yöneltilir. Cevaplar not vermek için değil, ders sürecinde verilecek desteği belirlemek için kısa gözlem notlarıyla takip edilir.</w:t>
      </w:r>
    </w:p>
    <w:p>
      <w:pPr>
        <w:spacing w:after="120" w:line="264" w:lineRule="auto"/>
        <w:ind w:firstLine="255"/>
      </w:pPr>
      <w:r>
        <w:rPr>
          <w:rFonts w:ascii="Times New Roman" w:hAnsi="Times New Roman"/>
          <w:b/>
          <w:color w:val="000000"/>
          <w:sz w:val="20"/>
        </w:rPr>
        <w:t xml:space="preserve">Köprü kurma: </w:t>
      </w:r>
      <w:r>
        <w:rPr>
          <w:rFonts w:ascii="Times New Roman" w:hAnsi="Times New Roman"/>
          <w:b w:val="0"/>
          <w:color w:val="000000"/>
          <w:sz w:val="20"/>
        </w:rPr>
        <w:t>Eğim, çatı yüksekliği ve erişilemeyen uzunlukların hesaplanması üzerinden uygun trigonometrik oranı seçme gereği tartışılır.</w:t>
      </w:r>
    </w:p>
    <w:p>
      <w:pPr>
        <w:pStyle w:val="Heading1"/>
        <w:keepNext/>
      </w:pPr>
      <w:r>
        <w:rPr>
          <w:rFonts w:ascii="Times New Roman" w:hAnsi="Times New Roman"/>
          <w:b/>
          <w:color w:val="000000"/>
          <w:sz w:val="22"/>
        </w:rPr>
        <w:t>Araç Gereç ve Kaynaklar</w:t>
      </w:r>
    </w:p>
    <w:p>
      <w:pPr>
        <w:spacing w:after="8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Dik üçgen şablonları, oran kartları, grafik kâğıdı, problem kartları, çalışma kâğıdı ve akıllı tahta.</w:t>
      </w:r>
    </w:p>
    <w:p>
      <w:pPr>
        <w:spacing w:after="140" w:line="264" w:lineRule="auto"/>
        <w:ind w:firstLine="255"/>
      </w:pPr>
      <w:r>
        <w:rPr>
          <w:rFonts w:ascii="Times New Roman" w:hAnsi="Times New Roman"/>
          <w:b/>
          <w:color w:val="000000"/>
          <w:sz w:val="20"/>
        </w:rPr>
        <w:t xml:space="preserve">Kaynak ve güvenlik: </w:t>
      </w:r>
      <w:r>
        <w:rPr>
          <w:rFonts w:ascii="Times New Roman" w:hAnsi="Times New Roman"/>
          <w:b w:val="0"/>
          <w:color w:val="000000"/>
          <w:sz w:val="20"/>
        </w:rPr>
        <w:t>Matematiksel araçlar amaçlarına uygun, dikkatli ve ortak kullanım kurallarına uygun biçimde kullanılır. Dijital içerik ve görseller öğretmen rehberliğinde, dersin öğrenme çıktısıyla ilişki kuracak şekilde seçilir.</w:t>
      </w:r>
    </w:p>
    <w:p>
      <w:pPr>
        <w:pStyle w:val="Heading1"/>
        <w:keepNext/>
      </w:pPr>
      <w:r>
        <w:rPr>
          <w:rFonts w:ascii="Times New Roman" w:hAnsi="Times New Roman"/>
          <w:b/>
          <w:color w:val="000000"/>
          <w:sz w:val="22"/>
        </w:rPr>
        <w:t>Öğrenme Öğretme Süreci</w:t>
      </w:r>
    </w:p>
    <w:p>
      <w:pPr>
        <w:spacing w:after="12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süreler 6 ders saati esas alınarak hazırlanmıştır. Okulun ders çizelgesi, resmî tatiller, okul temelli planlama ve sınıfın hazırbulunuşluk düzeyine göre uygulama süresi yeniden düzenlenebilir.</w:t>
      </w:r>
    </w:p>
    <w:p>
      <w:pPr>
        <w:pStyle w:val="Heading2"/>
        <w:keepNext/>
      </w:pPr>
      <w:r>
        <w:rPr>
          <w:rFonts w:ascii="Times New Roman" w:hAnsi="Times New Roman"/>
          <w:b/>
          <w:color w:val="000000"/>
          <w:sz w:val="21"/>
        </w:rPr>
        <w:t>Birinci Ders Saati</w:t>
      </w:r>
    </w:p>
    <w:p>
      <w:pPr>
        <w:pStyle w:val="Stage"/>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“Bir trigonometrik oranı seçerken bilinen ve aranan kenarlar bize nasıl yol gösterir?” sorusunu yöneltir. Öğrencilerin ilk düşüncelerini not vermek için değil, kullanılacak örnekleri ve desteği belirlemek için toplar.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tahminini yazar veya sözlü paylaşır; bildiği ile araştırması gereken noktayı ayırır.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cümlesi ve öğretmen gözlem notu.</w:t>
      </w:r>
    </w:p>
    <w:p>
      <w:pPr>
        <w:pStyle w:val="Stage"/>
      </w:pPr>
      <w:r>
        <w:rPr>
          <w:rFonts w:ascii="Times New Roman" w:hAnsi="Times New Roman"/>
          <w:b/>
          <w:color w:val="000000"/>
          <w:sz w:val="20"/>
        </w:rPr>
        <w:t>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özdeşlikleri örnek üçgenlerde sınama, problemde verileri modelleme ve çözüm yolunu gerekçelendirme sürecinde gerekli araçları tanıtır ve öğrencilerin işlem basamaklarını gerekçelendirmesine rehberlik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dik üçgende trigonometrik oranlar ve trigonometrik özdeşlikler ile ilgili çizim, ölçme, sınıflandırma veya sayı çalışmasını yaparak bulgusunu kaydeder.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Çalışma kâğıdındaki bulgular ve doğru araç kullanımı.</w:t>
      </w:r>
    </w:p>
    <w:p>
      <w:pPr>
        <w:pStyle w:val="Stage"/>
      </w:pPr>
      <w:r>
        <w:rPr>
          <w:rFonts w:ascii="Times New Roman" w:hAnsi="Times New Roman"/>
          <w:b/>
          <w:color w:val="000000"/>
          <w:sz w:val="20"/>
        </w:rPr>
        <w:t>Kısa değerlendirme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iki ya da üç öğrenci ürününü anonim biçimde inceler; benzer çözümleri ve açıklama gerektiren noktaları görünür hâle getirir.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bulgusunu paylaşır, arkadaşının açıklamasına kanıt veya gerekçe ekler.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Sözlü gerekçelendirme ve kısa yansıtma notu.</w:t>
      </w:r>
    </w:p>
    <w:p>
      <w:pPr>
        <w:pStyle w:val="Heading2"/>
        <w:keepNext/>
      </w:pPr>
      <w:r>
        <w:rPr>
          <w:rFonts w:ascii="Times New Roman" w:hAnsi="Times New Roman"/>
          <w:b/>
          <w:color w:val="000000"/>
          <w:sz w:val="21"/>
        </w:rPr>
        <w:t>İkinci Ders Saati</w:t>
      </w:r>
    </w:p>
    <w:p>
      <w:pPr>
        <w:pStyle w:val="Stage"/>
      </w:pPr>
      <w:r>
        <w:rPr>
          <w:rFonts w:ascii="Times New Roman" w:hAnsi="Times New Roman"/>
          <w:b/>
          <w:color w:val="000000"/>
          <w:sz w:val="20"/>
        </w:rPr>
        <w:t>Uygulama hazırlığı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çalışmanın adımlarını ve araçların güvenli kullanımını açıklar. Eğim, çatı yüksekliği ve erişilemeyen uzunlukların hesaplanması üzerinden uygun trigonometrik oranı seçme gereği tartışılır. bağlantısını kuracak sorular yöneltir.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görev paylaşımı yapar ve hangi ölçüm, çizim veya örüntüyü takip edeceğini belirler.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Görev paylaşımı ve planlanmış çalışma adımı.</w:t>
      </w:r>
    </w:p>
    <w:p>
      <w:pPr>
        <w:pStyle w:val="Stage"/>
      </w:pPr>
      <w:r>
        <w:rPr>
          <w:rFonts w:ascii="Times New Roman" w:hAnsi="Times New Roman"/>
          <w:b/>
          <w:color w:val="000000"/>
          <w:sz w:val="20"/>
        </w:rPr>
        <w:t>Uygulama ve kayıt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uygun oran seçimini açıklayan çözüm, özdeşlik doğrulaması ve kısa performans görevi oluşturmaları sırasında öğrencilerin işlem sonucu ile gerekçesini ayırmasına yardımcı olur.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çizim, ölçüm, tablo veya sayı örneğini oluşturur; sonucu kontrol eder ve gerekli düzeltmeyi yapar.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Uygun oran seçimini açıklayan çözüm, özdeşlik doğrulaması ve kısa performans görevi</w:t>
      </w:r>
    </w:p>
    <w:p>
      <w:pPr>
        <w:pStyle w:val="Stage"/>
      </w:pPr>
      <w:r>
        <w:rPr>
          <w:rFonts w:ascii="Times New Roman" w:hAnsi="Times New Roman"/>
          <w:b/>
          <w:color w:val="000000"/>
          <w:sz w:val="20"/>
        </w:rPr>
        <w:t>Geri bildirim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ürünleri belirlenen ölçütlerle karşılaştırır; eksik veya hatalı ilişkide öğrenciyi kendi işlem basamaklarına döndürerek düzeltmeye yönlendirir.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ürünündeki bir güçlü yönü ve bir geliştirme noktasını belirler.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Geri bildirim sonrası düzeltilmiş öğrenci ürünü.</w:t>
      </w:r>
    </w:p>
    <w:p>
      <w:pPr>
        <w:pStyle w:val="Heading2"/>
        <w:keepNext/>
      </w:pPr>
      <w:r>
        <w:rPr>
          <w:rFonts w:ascii="Times New Roman" w:hAnsi="Times New Roman"/>
          <w:b/>
          <w:color w:val="000000"/>
          <w:sz w:val="21"/>
        </w:rPr>
        <w:t>Üçüncü Ders Saati</w:t>
      </w:r>
    </w:p>
    <w:p>
      <w:pPr>
        <w:pStyle w:val="Stage"/>
      </w:pPr>
      <w:r>
        <w:rPr>
          <w:rFonts w:ascii="Times New Roman" w:hAnsi="Times New Roman"/>
          <w:b/>
          <w:color w:val="000000"/>
          <w:sz w:val="20"/>
        </w:rPr>
        <w:t>Bulguyu açıklama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sınıfta ortak tablo veya kavram haritası oluşturur. Sonucun hangi çizim, ölçüm veya örüntüden çıkarıldığını açıklatır.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bulgusunu ortak tabloya ekler; başka grubun bulgusuyla benzerlik ve farklılıkları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Kanıtla uyumlu açıklama.</w:t>
      </w:r>
    </w:p>
    <w:p>
      <w:pPr>
        <w:pStyle w:val="Stage"/>
      </w:pPr>
      <w:r>
        <w:rPr>
          <w:rFonts w:ascii="Times New Roman" w:hAnsi="Times New Roman"/>
          <w:b/>
          <w:color w:val="000000"/>
          <w:sz w:val="20"/>
        </w:rPr>
        <w:t>Ürün oluşturma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öğrencilerden uygun oran seçimini açıklayan çözüm, özdeşlik doğrulaması ve kısa performans görevi tamamlamalarını ister; matematiksel gösterimin doğruluğu ve açıklamanın anlaşılır olması ölçütlerini hatırlatır.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bireysel veya grup ürününü hazırlar; gerektiğinde çizim, etiketleme ve sözlü açıklama kullanır.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Öğrenci ürünü ve akran/öz değerlendirme.</w:t>
      </w:r>
    </w:p>
    <w:p>
      <w:pPr>
        <w:pStyle w:val="Stage"/>
      </w:pPr>
      <w:r>
        <w:rPr>
          <w:rFonts w:ascii="Times New Roman" w:hAnsi="Times New Roman"/>
          <w:b/>
          <w:color w:val="000000"/>
          <w:sz w:val="20"/>
        </w:rPr>
        <w:t>Paylaşım ve transfer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kavramın günlük yaşamda veya yeni bir matematiksel durumda nasıl kullanılabileceğini sorar.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 kısa sunar ve kullandığı ilişkiyi yeni bir örnekle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Gerekçeli transfer yanıtı.</w:t>
      </w:r>
    </w:p>
    <w:p>
      <w:pPr>
        <w:pStyle w:val="Heading2"/>
        <w:keepNext/>
      </w:pPr>
      <w:r>
        <w:rPr>
          <w:rFonts w:ascii="Times New Roman" w:hAnsi="Times New Roman"/>
          <w:b/>
          <w:color w:val="000000"/>
          <w:sz w:val="21"/>
        </w:rPr>
        <w:t>Dördüncü Ders Saati</w:t>
      </w:r>
    </w:p>
    <w:p>
      <w:pPr>
        <w:pStyle w:val="Stage"/>
      </w:pPr>
      <w:r>
        <w:rPr>
          <w:rFonts w:ascii="Times New Roman" w:hAnsi="Times New Roman"/>
          <w:b/>
          <w:color w:val="000000"/>
          <w:sz w:val="20"/>
        </w:rPr>
        <w:t>Pekiştirme (12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yapılandırılmış kısa soru, şema tamamlama veya eşleştirme etkinliği uygular.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etkinliği bireysel tamamlar; bir çözüm yolunu arkadaşına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Bireysel pekiştirme etkinliği.</w:t>
      </w:r>
    </w:p>
    <w:p>
      <w:pPr>
        <w:pStyle w:val="Stage"/>
      </w:pPr>
      <w:r>
        <w:rPr>
          <w:rFonts w:ascii="Times New Roman" w:hAnsi="Times New Roman"/>
          <w:b/>
          <w:color w:val="000000"/>
          <w:sz w:val="20"/>
        </w:rPr>
        <w:t>Farklılaştırılmış çalışma (18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desteğe ihtiyaç duyanlar için daha somut model ve yarı tamamlanmış şema; hızlı ilerleyenler için yeni durum üzerinde gerekçelendirme görevi sunar.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ihtiyacına uygun görevi seçer ve aldığı dönütle ürününü tamamlar.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Seçilen görevin tamamlanması.</w:t>
      </w:r>
    </w:p>
    <w:p>
      <w:pPr>
        <w:pStyle w:val="Stage"/>
      </w:pPr>
      <w:r>
        <w:rPr>
          <w:rFonts w:ascii="Times New Roman" w:hAnsi="Times New Roman"/>
          <w:b/>
          <w:color w:val="000000"/>
          <w:sz w:val="20"/>
        </w:rPr>
        <w:t>Çıkış bileti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“Bu hafta öğrendiğim ilişki...”, “Bunu gösteren kanıt...” ve “Bir sonraki derste merak ettiğim...” cümlelerini verir.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çıkış biletini tamamlar ve gerekli desteği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Çıkış bileti ve sonraki haftaya ilişkin yansıtma notu.</w:t>
      </w:r>
    </w:p>
    <w:p>
      <w:pPr>
        <w:pStyle w:val="Heading2"/>
        <w:keepNext/>
      </w:pPr>
      <w:r>
        <w:rPr>
          <w:rFonts w:ascii="Times New Roman" w:hAnsi="Times New Roman"/>
          <w:b/>
          <w:color w:val="000000"/>
          <w:sz w:val="21"/>
        </w:rPr>
        <w:t>Beşinci Ders Saati</w:t>
      </w:r>
    </w:p>
    <w:p>
      <w:pPr>
        <w:pStyle w:val="Stage"/>
      </w:pPr>
      <w:r>
        <w:rPr>
          <w:rFonts w:ascii="Times New Roman" w:hAnsi="Times New Roman"/>
          <w:b/>
          <w:color w:val="000000"/>
          <w:sz w:val="20"/>
        </w:rPr>
        <w:t>Önceki öğrenmeleri ilişkilendirme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haftanın çalışmalarından seçilmiş iki farklı çözüm yolunu karşılaştırmaya açar. Öğrencilerden kullanılan temsil, işlem veya gerekçedeki ortak yönleri belirtmelerini ister.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çözümü ile örnek çözümleri karşılaştırır; hangi adımın sonucu güvenilir kıldığını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Karşılaştırma notu ve sözlü gerekçe.</w:t>
      </w:r>
    </w:p>
    <w:p>
      <w:pPr>
        <w:pStyle w:val="Stage"/>
      </w:pPr>
      <w:r>
        <w:rPr>
          <w:rFonts w:ascii="Times New Roman" w:hAnsi="Times New Roman"/>
          <w:b/>
          <w:color w:val="000000"/>
          <w:sz w:val="20"/>
        </w:rPr>
        <w:t>Uygulama görevi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dik üçgende trigonometrik oranlar ve trigonometrik özdeşlikler kapsamındaki öğrenme çıktısını yeni bir bağlamda kullanmayı gerektiren kısa uygulama görevi verir; gerektiğinde somut materyal ve yönlendirici sorularla destek sunar.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uygun matematiksel temsili seçer, çözümünü veya çıkarımını kayıt altına alır ve sonucu kontrol 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Gerekçeli uygulama ürünü.</w:t>
      </w:r>
    </w:p>
    <w:p>
      <w:pPr>
        <w:pStyle w:val="Stage"/>
      </w:pPr>
      <w:r>
        <w:rPr>
          <w:rFonts w:ascii="Times New Roman" w:hAnsi="Times New Roman"/>
          <w:b/>
          <w:color w:val="000000"/>
          <w:sz w:val="20"/>
        </w:rPr>
        <w:t>Haftalık öğrenme değerlendirmesi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ölçme kanıtlarını gözden geçirir; sonraki hafta için tekrar, destekleme veya zenginleştirme ihtiyacını not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haftanın öğrenme hedefiyle ilgili öz değerlendirme yapar ve bir sonraki çalışmaya hazırlık sorusunu yanıtlar.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Öz değerlendirme ve öğretmen gözlem notu.</w:t>
      </w:r>
    </w:p>
    <w:p>
      <w:pPr>
        <w:pStyle w:val="Heading2"/>
        <w:keepNext/>
      </w:pPr>
      <w:r>
        <w:rPr>
          <w:rFonts w:ascii="Times New Roman" w:hAnsi="Times New Roman"/>
          <w:b/>
          <w:color w:val="000000"/>
          <w:sz w:val="21"/>
        </w:rPr>
        <w:t>Altıncı Ders Saati</w:t>
      </w:r>
    </w:p>
    <w:p>
      <w:pPr>
        <w:pStyle w:val="Stage"/>
      </w:pPr>
      <w:r>
        <w:rPr>
          <w:rFonts w:ascii="Times New Roman" w:hAnsi="Times New Roman"/>
          <w:b/>
          <w:color w:val="000000"/>
          <w:sz w:val="20"/>
        </w:rPr>
        <w:t>Uygulama, kontrol ve tamamlayıcı değerlendirme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haftanın öğrenme çıktısına uygun kısa bir problem veya veri yorumlama görevi verir; kullanılan matematiksel temsil ile gerekçe arasındaki ilişkiyi izler.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çözüm veya inceleme adımlarını düzenler; sonucunu farklı bir gösterim, kontrol işlemi ya da akran açıklamasıyla sınar.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Çözüm yolu, kontrol adımı ve gerekçeli sonuç.</w:t>
      </w:r>
    </w:p>
    <w:p>
      <w:pPr>
        <w:pStyle w:val="Stage"/>
      </w:pPr>
      <w:r>
        <w:rPr>
          <w:rFonts w:ascii="Times New Roman" w:hAnsi="Times New Roman"/>
          <w:b/>
          <w:color w:val="000000"/>
          <w:sz w:val="20"/>
        </w:rPr>
        <w:t>Geri bildirim ve bireysel tamamlama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 ürünlerinden seçilen örnekler üzerinden doğru yaklaşımı, yaygın yanılgıyı ve geliştirme adımını görünür hâle getirir.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ürününü ölçütlere göre gözden geçirir; gerekirse düzeltme yapar ve eksik kalan adımı tamamlar.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Düzeltilmiş öğrenci ürünü ve öz değerlendirme notu.</w:t>
      </w:r>
    </w:p>
    <w:p>
      <w:pPr>
        <w:pStyle w:val="Stage"/>
      </w:pPr>
      <w:r>
        <w:rPr>
          <w:rFonts w:ascii="Times New Roman" w:hAnsi="Times New Roman"/>
          <w:b/>
          <w:color w:val="000000"/>
          <w:sz w:val="20"/>
        </w:rPr>
        <w:t>Haftayı kapatma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bir sonraki haftanın içeriğine geçişi sağlayacak kısa bir hazırlık sorusu yöneltir ve destekleme ihtiyacını kaydeder.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haftanın temel ilişkisini bir cümleyle özetler ve sonraki öğrenmeye ilişkin sorusunu yazar.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Kapanış notu ve sonraki haftaya hazırlık sorusu.</w:t>
      </w:r>
    </w:p>
    <w:p>
      <w:pPr>
        <w:pStyle w:val="Heading1"/>
        <w:keepNext/>
      </w:pPr>
      <w:r>
        <w:rPr>
          <w:rFonts w:ascii="Times New Roman" w:hAnsi="Times New Roman"/>
          <w:b/>
          <w:color w:val="000000"/>
          <w:sz w:val="22"/>
        </w:rPr>
        <w:t>Farklılaştırma</w:t>
      </w:r>
    </w:p>
    <w:p>
      <w:pPr>
        <w:spacing w:after="8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Kavramı veya işlem basamağını ayırt etmekte zorlanan öğrenciler için somut materyal, yarı tamamlanmış çizim/tablo, kısa yönerge ve öğretmen modellemesi kullanılır. Öğrenci öğrenmesini çizim, etiketleme ya da sözlü açıklama yoluyla da gösterebilir.</w:t>
      </w:r>
    </w:p>
    <w:p>
      <w:pPr>
        <w:spacing w:after="12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dik üçgende trigonometrik oranlar ve trigonometrik özdeşlikler ile ilgili yeni bir örnek tasarlamaları, kullandıkları matematiksel ilişkiyi ve gerekçesini açıklamaları istenir.</w:t>
      </w:r>
    </w:p>
    <w:p>
      <w:r>
        <w:br w:type="page"/>
      </w:r>
    </w:p>
    <w:p>
      <w:pPr>
        <w:pStyle w:val="Heading1"/>
        <w:keepNext/>
      </w:pPr>
      <w:r>
        <w:rPr>
          <w:rFonts w:ascii="Times New Roman" w:hAnsi="Times New Roman"/>
          <w:b/>
          <w:color w:val="000000"/>
          <w:sz w:val="22"/>
        </w:rPr>
        <w:t>Ölçme ve Değerlendirme</w:t>
      </w:r>
    </w:p>
    <w:p>
      <w:pPr>
        <w:spacing w:after="8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çalışma kâğıdı, öğrenci ürünü, akran/öz değerlendirme ve çıkış bileti birlikte kullanılır. Öğrencinin yalnızca sonucu değil, matematiksel temsilini, gerekçelendirmesini ve geri bildirimden yararlanma biçimi de değerlendirilir.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6" w:color="B7C3CE"/>
              <w:left w:val="single" w:sz="6" w:color="B7C3CE"/>
              <w:bottom w:val="single" w:sz="6" w:color="B7C3CE"/>
              <w:right w:val="single" w:sz="6"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6" w:color="B7C3CE"/>
              <w:left w:val="single" w:sz="6" w:color="B7C3CE"/>
              <w:bottom w:val="single" w:sz="6" w:color="B7C3CE"/>
              <w:right w:val="single" w:sz="6"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6" w:color="B7C3CE"/>
              <w:left w:val="single" w:sz="6" w:color="B7C3CE"/>
              <w:bottom w:val="single" w:sz="6" w:color="B7C3CE"/>
              <w:right w:val="single" w:sz="6"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Dik üçgende trigonometrik oranlara ve trigonometrik özdeşliklere ilişkin çıkarım yapabilme.</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Çizim, ölçüm, tablo veya temsilini doğru matematiksel gösterimle ilişkilendirir.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Çözümünün veya çıkarımının gerekçesini açıklar.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Geri bildirimden yararlanarak ürününde en az bir iyileştirme yapar.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2"/>
        </w:rPr>
        <w:t>Sınıf Defterine Yazılacak İfade</w:t>
      </w:r>
    </w:p>
    <w:p>
      <w:pPr>
        <w:spacing w:after="10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Trigonometrik oranlar arasındaki ilişkiler doğrulandı; gerçek yaşam problemlerinde uygun oran seçimi uygulandı.</w:t>
      </w:r>
    </w:p>
    <w:p>
      <w:pPr>
        <w:pStyle w:val="Heading1"/>
        <w:keepNext/>
      </w:pPr>
      <w:r>
        <w:rPr>
          <w:rFonts w:ascii="Times New Roman" w:hAnsi="Times New Roman"/>
          <w:b/>
          <w:color w:val="000000"/>
          <w:sz w:val="22"/>
        </w:rPr>
        <w:t>Öğretmen Yansıtması ve Sonraki Haftaya Hazırlık</w:t>
      </w:r>
    </w:p>
    <w:p>
      <w:pPr>
        <w:spacing w:after="120"/>
      </w:pPr>
      <w:r>
        <w:rPr>
          <w:rFonts w:ascii="Times New Roman" w:hAnsi="Times New Roman"/>
          <w:b w:val="0"/>
          <w:color w:val="000000"/>
          <w:sz w:val="20"/>
        </w:rPr>
        <w:t>Öğrencilerin en çok zorlandığı kavram veya ilişki: ........................................................................................................................................</w:t>
      </w:r>
    </w:p>
    <w:p>
      <w:pPr>
        <w:spacing w:after="120"/>
      </w:pPr>
      <w:r>
        <w:rPr>
          <w:rFonts w:ascii="Times New Roman" w:hAnsi="Times New Roman"/>
          <w:b w:val="0"/>
          <w:color w:val="000000"/>
          <w:sz w:val="20"/>
        </w:rPr>
        <w:t>Bir sonraki uygulamada korunacak ya da değiştirilecek öğretim adımı: ..................................................................................................................</w:t>
      </w:r>
    </w:p>
    <w:p>
      <w:pPr>
        <w:spacing w:after="120"/>
      </w:pPr>
      <w:r>
        <w:rPr>
          <w:rFonts w:ascii="Times New Roman" w:hAnsi="Times New Roman"/>
          <w:b w:val="0"/>
          <w:color w:val="000000"/>
          <w:sz w:val="20"/>
        </w:rPr>
        <w:t>Destekleme veya zenginleştirme ihtiyacı görülen öğrenci grubu / çalışma: .............................................................................................................</w:t>
      </w:r>
    </w:p>
    <w:p>
      <w:pPr>
        <w:pStyle w:val="Heading1"/>
        <w:keepNext/>
      </w:pPr>
      <w:r>
        <w:rPr>
          <w:rFonts w:ascii="Times New Roman" w:hAnsi="Times New Roman"/>
          <w:b/>
          <w:color w:val="000000"/>
          <w:sz w:val="22"/>
        </w:rPr>
        <w:t>İmza</w:t>
      </w:r>
    </w:p>
    <w:p>
      <w:pPr>
        <w:spacing w:before="180" w:after="0"/>
        <w:jc w:val="center"/>
      </w:pPr>
      <w:r>
        <w:rPr>
          <w:rFonts w:ascii="Times New Roman" w:hAnsi="Times New Roman"/>
          <w:b w:val="0"/>
          <w:color w:val="000000"/>
          <w:sz w:val="20"/>
        </w:rPr>
        <w:t>21 Eylül 2026</w:t>
      </w:r>
    </w:p>
    <w:p>
      <w:pPr>
        <w:spacing w:before="0" w:after="0"/>
        <w:jc w:val="center"/>
      </w:pPr>
      <w:r>
        <w:rPr>
          <w:rFonts w:ascii="Times New Roman" w:hAnsi="Times New Roman"/>
          <w:b/>
          <w:color w:val="000000"/>
          <w:sz w:val="20"/>
        </w:rPr>
        <w:t>Ders Öğretmeni</w:t>
      </w:r>
    </w:p>
    <w:p>
      <w:pPr>
        <w:spacing w:before="0" w:after="0"/>
        <w:jc w:val="center"/>
      </w:pPr>
      <w:r>
        <w:rPr>
          <w:rFonts w:ascii="Times New Roman" w:hAnsi="Times New Roman"/>
          <w:b w:val="0"/>
          <w:color w:val="000000"/>
          <w:sz w:val="20"/>
        </w:rPr>
        <w:t>........................................................</w:t>
      </w:r>
    </w:p>
    <w:p>
      <w:pPr>
        <w:spacing w:before="0" w:after="0"/>
        <w:jc w:val="center"/>
      </w:pPr>
      <w:r>
        <w:rPr>
          <w:rFonts w:ascii="Times New Roman" w:hAnsi="Times New Roman"/>
          <w:b w:val="0"/>
          <w:color w:val="000000"/>
          <w:sz w:val="20"/>
        </w:rPr>
        <w:t>İmza</w:t>
      </w:r>
    </w:p>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ge">
    <w:name w:val="Stage"/>
    <w:basedOn w:val="Normal"/>
    <w:pPr>
      <w:spacing w:before="120" w:after="40"/>
      <w:ind w:firstLine="0"/>
    </w:pPr>
    <w:rPr>
      <w:rFonts w:ascii="Times New Roman" w:hAnsi="Times New Roman"/>
      <w:b/>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10. Sınıf Matematik 2.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