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40"/>
      </w:pPr>
      <w:r>
        <w:rPr>
          <w:rFonts w:ascii="Times New Roman" w:hAnsi="Times New Roman"/>
          <w:b/>
          <w:color w:val="000000"/>
          <w:sz w:val="24"/>
        </w:rPr>
        <w:t>........................................................ LİSESİ MÜDÜRLÜĞÜ</w:t>
      </w:r>
    </w:p>
    <w:p>
      <w:pPr>
        <w:pStyle w:val="Title"/>
        <w:spacing w:after="40"/>
      </w:pPr>
      <w:r>
        <w:rPr>
          <w:rFonts w:ascii="Times New Roman" w:hAnsi="Times New Roman"/>
          <w:b/>
          <w:color w:val="000000"/>
          <w:sz w:val="24"/>
        </w:rPr>
        <w:t>2026-2027 EĞİTİM ÖĞRETİM YILI</w:t>
      </w:r>
    </w:p>
    <w:p>
      <w:pPr>
        <w:pStyle w:val="Title"/>
        <w:spacing w:after="40"/>
      </w:pPr>
      <w:r>
        <w:rPr>
          <w:rFonts w:ascii="Times New Roman" w:hAnsi="Times New Roman"/>
          <w:b/>
          <w:color w:val="000000"/>
          <w:sz w:val="24"/>
        </w:rPr>
        <w:t>12. SINIF MATEMATİK DERS PLANI</w:t>
      </w:r>
    </w:p>
    <w:p>
      <w:pPr>
        <w:pStyle w:val="Title"/>
        <w:spacing w:after="180"/>
      </w:pPr>
      <w:r>
        <w:rPr>
          <w:rFonts w:ascii="Times New Roman" w:hAnsi="Times New Roman"/>
          <w:b/>
          <w:color w:val="000000"/>
          <w:sz w:val="24"/>
        </w:rPr>
        <w:t>6. HAFTA</w:t>
      </w:r>
    </w:p>
    <w:tbl>
      <w:tblPr>
        <w:tblW w:type="auto" w:w="0"/>
        <w:jc w:val="center"/>
        <w:tblLayout w:type="fixed"/>
        <w:tblLook w:firstColumn="1" w:firstRow="1" w:lastColumn="0" w:lastRow="0" w:noHBand="0" w:noVBand="1" w:val="04A0"/>
      </w:tblPr>
      <w:tblGrid>
        <w:gridCol w:w="2466"/>
        <w:gridCol w:w="2466"/>
        <w:gridCol w:w="2466"/>
        <w:gridCol w:w="2466"/>
      </w:tblGrid>
      <w:tr>
        <w:tc>
          <w:tcPr>
            <w:tcW w:type="dxa" w:w="1871"/>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Kurum</w:t>
            </w:r>
          </w:p>
        </w:tc>
        <w:tc>
          <w:tcPr>
            <w:tcW w:type="dxa" w:w="2920"/>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w:t>
            </w:r>
          </w:p>
        </w:tc>
        <w:tc>
          <w:tcPr>
            <w:tcW w:type="dxa" w:w="1871"/>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Eğitim Öğretim Yılı</w:t>
            </w:r>
          </w:p>
        </w:tc>
        <w:tc>
          <w:tcPr>
            <w:tcW w:type="dxa" w:w="2920"/>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2026-2027</w:t>
            </w:r>
          </w:p>
        </w:tc>
      </w:tr>
      <w:tr>
        <w:tc>
          <w:tcPr>
            <w:tcW w:type="dxa" w:w="1871"/>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Ders</w:t>
            </w:r>
          </w:p>
        </w:tc>
        <w:tc>
          <w:tcPr>
            <w:tcW w:type="dxa" w:w="2920"/>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Matematik</w:t>
            </w:r>
          </w:p>
        </w:tc>
        <w:tc>
          <w:tcPr>
            <w:tcW w:type="dxa" w:w="1871"/>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Sınıf / Şube</w:t>
            </w:r>
          </w:p>
        </w:tc>
        <w:tc>
          <w:tcPr>
            <w:tcW w:type="dxa" w:w="2920"/>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12 / ............</w:t>
            </w:r>
          </w:p>
        </w:tc>
      </w:tr>
      <w:tr>
        <w:tc>
          <w:tcPr>
            <w:tcW w:type="dxa" w:w="1871"/>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Hafta</w:t>
            </w:r>
          </w:p>
        </w:tc>
        <w:tc>
          <w:tcPr>
            <w:tcW w:type="dxa" w:w="2920"/>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6. Hafta</w:t>
            </w:r>
          </w:p>
        </w:tc>
        <w:tc>
          <w:tcPr>
            <w:tcW w:type="dxa" w:w="1871"/>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Uygulama Tarih Aralığı</w:t>
            </w:r>
          </w:p>
        </w:tc>
        <w:tc>
          <w:tcPr>
            <w:tcW w:type="dxa" w:w="2920"/>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19-23 Ekim 2026</w:t>
            </w:r>
          </w:p>
        </w:tc>
      </w:tr>
      <w:tr>
        <w:tc>
          <w:tcPr>
            <w:tcW w:type="dxa" w:w="1871"/>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Toplam Ders Saati</w:t>
            </w:r>
          </w:p>
        </w:tc>
        <w:tc>
          <w:tcPr>
            <w:tcW w:type="dxa" w:w="2920"/>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6 ders saati</w:t>
            </w:r>
          </w:p>
        </w:tc>
        <w:tc>
          <w:tcPr>
            <w:tcW w:type="dxa" w:w="1871"/>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Düzenleme / İmza Tarihi</w:t>
            </w:r>
          </w:p>
        </w:tc>
        <w:tc>
          <w:tcPr>
            <w:tcW w:type="dxa" w:w="2920"/>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19 Ekim 2026 Pazartesi</w:t>
            </w:r>
          </w:p>
        </w:tc>
      </w:tr>
      <w:tr>
        <w:tc>
          <w:tcPr>
            <w:tcW w:type="dxa" w:w="1871"/>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Ders Öğretmeni</w:t>
            </w:r>
          </w:p>
        </w:tc>
        <w:tc>
          <w:tcPr>
            <w:tcW w:type="dxa" w:w="2920"/>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w:t>
            </w:r>
          </w:p>
        </w:tc>
        <w:tc>
          <w:tcPr>
            <w:tcW w:type="dxa" w:w="1871"/>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Kullanılan Ders Kitabı / Sayfa</w:t>
            </w:r>
          </w:p>
        </w:tc>
        <w:tc>
          <w:tcPr>
            <w:tcW w:type="dxa" w:w="2920"/>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w:t>
            </w:r>
          </w:p>
        </w:tc>
      </w:tr>
      <w:tr>
        <w:tc>
          <w:tcPr>
            <w:tcW w:type="dxa" w:w="1871"/>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Dersin İşleneceği Gün ve Saat</w:t>
            </w:r>
          </w:p>
        </w:tc>
        <w:tc>
          <w:tcPr>
            <w:tcW w:type="dxa" w:w="2920"/>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Okul ders çizelgesine göre</w:t>
            </w:r>
          </w:p>
        </w:tc>
        <w:tc>
          <w:tcPr>
            <w:tcW w:type="dxa" w:w="1871"/>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Plan Türü</w:t>
            </w:r>
          </w:p>
        </w:tc>
        <w:tc>
          <w:tcPr>
            <w:tcW w:type="dxa" w:w="2920"/>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Ders Planı</w:t>
            </w:r>
          </w:p>
        </w:tc>
      </w:tr>
    </w:tbl>
    <w:p>
      <w:pPr>
        <w:pStyle w:val="Heading1"/>
        <w:keepNext/>
      </w:pPr>
      <w:r>
        <w:rPr>
          <w:rFonts w:ascii="Times New Roman" w:hAnsi="Times New Roman"/>
          <w:b/>
          <w:color w:val="000000"/>
          <w:sz w:val="22"/>
        </w:rPr>
        <w:t>Yıllık Planla Uyumlu Öğrenme Çerçevesi</w:t>
      </w:r>
    </w:p>
    <w:tbl>
      <w:tblPr>
        <w:tblW w:type="auto" w:w="0"/>
        <w:jc w:val="center"/>
        <w:tblLayout w:type="fixed"/>
        <w:tblLook w:firstColumn="1" w:firstRow="1" w:lastColumn="0" w:lastRow="0" w:noHBand="0" w:noVBand="1" w:val="04A0"/>
      </w:tblPr>
      <w:tblGrid>
        <w:gridCol w:w="4933"/>
        <w:gridCol w:w="4933"/>
      </w:tblGrid>
      <w:tr>
        <w:tc>
          <w:tcPr>
            <w:tcW w:type="dxa" w:w="2438"/>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Tema / Ünite</w:t>
            </w:r>
          </w:p>
        </w:tc>
        <w:tc>
          <w:tcPr>
            <w:tcW w:type="dxa" w:w="7143"/>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Sayılar ve Cebir</w:t>
            </w:r>
          </w:p>
        </w:tc>
      </w:tr>
      <w:tr>
        <w:tc>
          <w:tcPr>
            <w:tcW w:type="dxa" w:w="2438"/>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İçerik Çerçevesi</w:t>
            </w:r>
          </w:p>
        </w:tc>
        <w:tc>
          <w:tcPr>
            <w:tcW w:type="dxa" w:w="7143"/>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Üstel ve Logaritmik Fonksiyonlar</w:t>
            </w:r>
          </w:p>
        </w:tc>
      </w:tr>
      <w:tr>
        <w:tc>
          <w:tcPr>
            <w:tcW w:type="dxa" w:w="2438"/>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Öğrenme Çıktısı</w:t>
            </w:r>
          </w:p>
        </w:tc>
        <w:tc>
          <w:tcPr>
            <w:tcW w:type="dxa" w:w="7143"/>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12.1.3.2. Üstel ve logaritmik fonksiyonları gerçek hayat durumlarını modellemede kullanır.</w:t>
            </w:r>
          </w:p>
        </w:tc>
      </w:tr>
      <w:tr>
        <w:tc>
          <w:tcPr>
            <w:tcW w:type="dxa" w:w="2438"/>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Süreç Bileşenleri</w:t>
            </w:r>
          </w:p>
        </w:tc>
        <w:tc>
          <w:tcPr>
            <w:tcW w:type="dxa" w:w="7143"/>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Üstel ve logaritmik fonksiyonları gerçek hayat durumlarında modelleme, model parametrelerini yorumlama, çözümü bağlam içinde değerlendirme ve sonucu kontrol etme.</w:t>
            </w:r>
          </w:p>
        </w:tc>
      </w:tr>
      <w:tr>
        <w:tc>
          <w:tcPr>
            <w:tcW w:type="dxa" w:w="2438"/>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Seçilen Beceriler</w:t>
            </w:r>
          </w:p>
        </w:tc>
        <w:tc>
          <w:tcPr>
            <w:tcW w:type="dxa" w:w="7143"/>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Muhakeme, matematiksel temsil, iletişim, problem çözme, dijital ve görsel okuryazarlık.</w:t>
            </w:r>
          </w:p>
        </w:tc>
      </w:tr>
      <w:tr>
        <w:tc>
          <w:tcPr>
            <w:tcW w:type="dxa" w:w="2438"/>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Değerler ve Eğilimler</w:t>
            </w:r>
          </w:p>
        </w:tc>
        <w:tc>
          <w:tcPr>
            <w:tcW w:type="dxa" w:w="7143"/>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Çalışkanlık, sorumluluk, estetik, iş birliği ve açık fikirlilik.</w:t>
            </w:r>
          </w:p>
        </w:tc>
      </w:tr>
    </w:tbl>
    <w:p>
      <w:pPr>
        <w:pStyle w:val="Heading1"/>
        <w:keepNext/>
      </w:pPr>
      <w:r>
        <w:rPr>
          <w:rFonts w:ascii="Times New Roman" w:hAnsi="Times New Roman"/>
          <w:b/>
          <w:color w:val="000000"/>
          <w:sz w:val="22"/>
        </w:rPr>
        <w:t>Hazırbulunuşluk ve Ön Değerlendirme</w:t>
      </w:r>
    </w:p>
    <w:p>
      <w:pPr>
        <w:spacing w:after="80" w:line="264" w:lineRule="auto"/>
        <w:ind w:firstLine="255"/>
      </w:pPr>
      <w:r>
        <w:rPr>
          <w:rFonts w:ascii="Times New Roman" w:hAnsi="Times New Roman"/>
          <w:b/>
          <w:color w:val="000000"/>
          <w:sz w:val="20"/>
        </w:rPr>
        <w:t xml:space="preserve">Temel kabul: </w:t>
      </w:r>
      <w:r>
        <w:rPr>
          <w:rFonts w:ascii="Times New Roman" w:hAnsi="Times New Roman"/>
          <w:b w:val="0"/>
          <w:color w:val="000000"/>
          <w:sz w:val="20"/>
        </w:rPr>
        <w:t>Öğrencilerin üstel ve logaritmik fonksiyonlarla denklem ve eşitsizlik çözebildiği kabul edilir.</w:t>
      </w:r>
    </w:p>
    <w:p>
      <w:pPr>
        <w:spacing w:after="80" w:line="264" w:lineRule="auto"/>
        <w:ind w:firstLine="255"/>
      </w:pPr>
      <w:r>
        <w:rPr>
          <w:rFonts w:ascii="Times New Roman" w:hAnsi="Times New Roman"/>
          <w:b/>
          <w:color w:val="000000"/>
          <w:sz w:val="20"/>
        </w:rPr>
        <w:t xml:space="preserve">Ön değerlendirme: </w:t>
      </w:r>
      <w:r>
        <w:rPr>
          <w:rFonts w:ascii="Times New Roman" w:hAnsi="Times New Roman"/>
          <w:b w:val="0"/>
          <w:color w:val="000000"/>
          <w:sz w:val="20"/>
        </w:rPr>
        <w:t>Öğrencilere “Gerçek yaşam verisini üstel ya da logaritmik bir modelle açıklarken hangi varsayımları görünür kılmalıyız?” sorusu yöneltilir. Cevaplar not vermek için değil, ders sürecinde verilecek desteği belirlemek için kısa gözlem notlarıyla takip edilir.</w:t>
      </w:r>
    </w:p>
    <w:p>
      <w:pPr>
        <w:spacing w:after="120" w:line="264" w:lineRule="auto"/>
        <w:ind w:firstLine="255"/>
      </w:pPr>
      <w:r>
        <w:rPr>
          <w:rFonts w:ascii="Times New Roman" w:hAnsi="Times New Roman"/>
          <w:b/>
          <w:color w:val="000000"/>
          <w:sz w:val="20"/>
        </w:rPr>
        <w:t xml:space="preserve">Köprü kurma: </w:t>
      </w:r>
      <w:r>
        <w:rPr>
          <w:rFonts w:ascii="Times New Roman" w:hAnsi="Times New Roman"/>
          <w:b w:val="0"/>
          <w:color w:val="000000"/>
          <w:sz w:val="20"/>
        </w:rPr>
        <w:t>Nüfus, finans, sıcaklık ölçeği, ses şiddeti veya madde yoğunluğu gibi bağlamlarda modelin varsayımları ve sınırlılıkları üzerinde durulur.</w:t>
      </w:r>
    </w:p>
    <w:p>
      <w:pPr>
        <w:pStyle w:val="Heading1"/>
        <w:keepNext/>
      </w:pPr>
      <w:r>
        <w:rPr>
          <w:rFonts w:ascii="Times New Roman" w:hAnsi="Times New Roman"/>
          <w:b/>
          <w:color w:val="000000"/>
          <w:sz w:val="22"/>
        </w:rPr>
        <w:t>Araç Gereç ve Kaynaklar</w:t>
      </w:r>
    </w:p>
    <w:p>
      <w:pPr>
        <w:spacing w:after="80" w:line="264" w:lineRule="auto"/>
        <w:ind w:firstLine="255"/>
      </w:pPr>
      <w:r>
        <w:rPr>
          <w:rFonts w:ascii="Times New Roman" w:hAnsi="Times New Roman"/>
          <w:b/>
          <w:color w:val="000000"/>
          <w:sz w:val="20"/>
        </w:rPr>
        <w:t xml:space="preserve">Araç gereç: </w:t>
      </w:r>
      <w:r>
        <w:rPr>
          <w:rFonts w:ascii="Times New Roman" w:hAnsi="Times New Roman"/>
          <w:b w:val="0"/>
          <w:color w:val="000000"/>
          <w:sz w:val="20"/>
        </w:rPr>
        <w:t>Gerçek yaşam veri kartları, elektronik tablo, grafik uygulaması, hesap makinesi, çalışma kâğıdı ve akıllı tahta.</w:t>
      </w:r>
    </w:p>
    <w:p>
      <w:pPr>
        <w:spacing w:after="140" w:line="264" w:lineRule="auto"/>
        <w:ind w:firstLine="255"/>
      </w:pPr>
      <w:r>
        <w:rPr>
          <w:rFonts w:ascii="Times New Roman" w:hAnsi="Times New Roman"/>
          <w:b/>
          <w:color w:val="000000"/>
          <w:sz w:val="20"/>
        </w:rPr>
        <w:t xml:space="preserve">Kaynak ve güvenlik: </w:t>
      </w:r>
      <w:r>
        <w:rPr>
          <w:rFonts w:ascii="Times New Roman" w:hAnsi="Times New Roman"/>
          <w:b w:val="0"/>
          <w:color w:val="000000"/>
          <w:sz w:val="20"/>
        </w:rPr>
        <w:t>Matematiksel araçlar amaçlarına uygun, dikkatli ve ortak kullanım kurallarına uygun biçimde kullanılır. Dijital içerik ve görseller öğretmen rehberliğinde, dersin öğrenme çıktısıyla ilişki kuracak şekilde seçilir.</w:t>
      </w:r>
    </w:p>
    <w:p>
      <w:pPr>
        <w:pStyle w:val="Heading1"/>
        <w:keepNext/>
      </w:pPr>
      <w:r>
        <w:rPr>
          <w:rFonts w:ascii="Times New Roman" w:hAnsi="Times New Roman"/>
          <w:b/>
          <w:color w:val="000000"/>
          <w:sz w:val="22"/>
        </w:rPr>
        <w:t>Öğrenme Öğretme Süreci</w:t>
      </w:r>
    </w:p>
    <w:p>
      <w:pPr>
        <w:spacing w:after="120" w:line="264" w:lineRule="auto"/>
        <w:ind w:firstLine="255"/>
      </w:pPr>
      <w:r>
        <w:rPr>
          <w:rFonts w:ascii="Times New Roman" w:hAnsi="Times New Roman"/>
          <w:b/>
          <w:color w:val="000000"/>
          <w:sz w:val="20"/>
        </w:rPr>
        <w:t xml:space="preserve">Uygulama notu: </w:t>
      </w:r>
      <w:r>
        <w:rPr>
          <w:rFonts w:ascii="Times New Roman" w:hAnsi="Times New Roman"/>
          <w:b w:val="0"/>
          <w:color w:val="000000"/>
          <w:sz w:val="20"/>
        </w:rPr>
        <w:t>Aşağıdaki süreler 6 ders saati esas alınarak hazırlanmıştır. Okulun ders çizelgesi, resmî tatiller, okul temelli planlama ve sınıfın hazırbulunuşluk düzeyine göre uygulama süresi yeniden düzenlenebilir.</w:t>
      </w:r>
    </w:p>
    <w:p>
      <w:pPr>
        <w:pStyle w:val="Heading2"/>
        <w:keepNext/>
      </w:pPr>
      <w:r>
        <w:rPr>
          <w:rFonts w:ascii="Times New Roman" w:hAnsi="Times New Roman"/>
          <w:b/>
          <w:color w:val="000000"/>
          <w:sz w:val="21"/>
        </w:rPr>
        <w:t>Birinci Ders Saati</w:t>
      </w:r>
    </w:p>
    <w:p>
      <w:pPr>
        <w:pStyle w:val="Stage"/>
      </w:pPr>
      <w:r>
        <w:rPr>
          <w:rFonts w:ascii="Times New Roman" w:hAnsi="Times New Roman"/>
          <w:b/>
          <w:color w:val="000000"/>
          <w:sz w:val="20"/>
        </w:rPr>
        <w:t>Dikkati çekme ve ön bilgiyi yoklama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“Gerçek yaşam verisini üstel ya da logaritmik bir modelle açıklarken hangi varsayımları görünür kılmalıyız?” sorusunu yöneltir. Öğrencilerin ilk düşüncelerini not vermek için değil, kullanılacak örnekleri ve desteği belirlemek için toplar.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tahminini yazar veya sözlü paylaşır; bildiği ile araştırması gereken noktayı ayırır.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Başlangıç cümlesi ve öğretmen gözlem notu.</w:t>
      </w:r>
    </w:p>
    <w:p>
      <w:pPr>
        <w:pStyle w:val="Stage"/>
      </w:pPr>
      <w:r>
        <w:rPr>
          <w:rFonts w:ascii="Times New Roman" w:hAnsi="Times New Roman"/>
          <w:b/>
          <w:color w:val="000000"/>
          <w:sz w:val="20"/>
        </w:rPr>
        <w:t>Kavramları yapılandırma (20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veriyi modelleme, parametreleri yorumlama, grafiği bağlamla ilişkilendirme ve çözümü kontrol etme sürecinde gerekli araçları tanıtır ve öğrencilerin işlem basamaklarını gerekçelendirmesine rehberlik eder.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üstel ve logaritmik fonksiyonlar ile ilgili çizim, ölçme, sınıflandırma veya sayı çalışmasını yaparak bulgusunu kaydeder.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Çalışma kâğıdındaki bulgular ve doğru araç kullanımı.</w:t>
      </w:r>
    </w:p>
    <w:p>
      <w:pPr>
        <w:pStyle w:val="Stage"/>
      </w:pPr>
      <w:r>
        <w:rPr>
          <w:rFonts w:ascii="Times New Roman" w:hAnsi="Times New Roman"/>
          <w:b/>
          <w:color w:val="000000"/>
          <w:sz w:val="20"/>
        </w:rPr>
        <w:t>Kısa değerlendirme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iki ya da üç öğrenci ürününü anonim biçimde inceler; benzer çözümleri ve açıklama gerektiren noktaları görünür hâle getirir.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bulgusunu paylaşır, arkadaşının açıklamasına kanıt veya gerekçe ekler.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Sözlü gerekçelendirme ve kısa yansıtma notu.</w:t>
      </w:r>
    </w:p>
    <w:p>
      <w:pPr>
        <w:pStyle w:val="Heading2"/>
        <w:keepNext/>
      </w:pPr>
      <w:r>
        <w:rPr>
          <w:rFonts w:ascii="Times New Roman" w:hAnsi="Times New Roman"/>
          <w:b/>
          <w:color w:val="000000"/>
          <w:sz w:val="21"/>
        </w:rPr>
        <w:t>İkinci Ders Saati</w:t>
      </w:r>
    </w:p>
    <w:p>
      <w:pPr>
        <w:pStyle w:val="Stage"/>
      </w:pPr>
      <w:r>
        <w:rPr>
          <w:rFonts w:ascii="Times New Roman" w:hAnsi="Times New Roman"/>
          <w:b/>
          <w:color w:val="000000"/>
          <w:sz w:val="20"/>
        </w:rPr>
        <w:t>Uygulama hazırlığı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çalışmanın adımlarını ve araçların güvenli kullanımını açıklar. Nüfus, finans, sıcaklık ölçeği, ses şiddeti veya madde yoğunluğu gibi bağlamlarda modelin varsayımları ve sınırlılıkları üzerinde durulur. bağlantısını kuracak sorular yöneltir.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görev paylaşımı yapar ve hangi ölçüm, çizim veya örüntüyü takip edeceğini belirler.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Görev paylaşımı ve planlanmış çalışma adımı.</w:t>
      </w:r>
    </w:p>
    <w:p>
      <w:pPr>
        <w:pStyle w:val="Stage"/>
      </w:pPr>
      <w:r>
        <w:rPr>
          <w:rFonts w:ascii="Times New Roman" w:hAnsi="Times New Roman"/>
          <w:b/>
          <w:color w:val="000000"/>
          <w:sz w:val="20"/>
        </w:rPr>
        <w:t>Uygulama ve kayıt (20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model kurma çalışması, grafik ve bağlama uygun yorum metni oluşturmaları sırasında öğrencilerin işlem sonucu ile gerekçesini ayırmasına yardımcı olur.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çizim, ölçüm, tablo veya sayı örneğini oluşturur; sonucu kontrol eder ve gerekli düzeltmeyi yapar.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Model kurma çalışması, grafik ve bağlama uygun yorum metni</w:t>
      </w:r>
    </w:p>
    <w:p>
      <w:pPr>
        <w:pStyle w:val="Stage"/>
      </w:pPr>
      <w:r>
        <w:rPr>
          <w:rFonts w:ascii="Times New Roman" w:hAnsi="Times New Roman"/>
          <w:b/>
          <w:color w:val="000000"/>
          <w:sz w:val="20"/>
        </w:rPr>
        <w:t>Geri bildirim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ürünleri belirlenen ölçütlerle karşılaştırır; eksik veya hatalı ilişkide öğrenciyi kendi işlem basamaklarına döndürerek düzeltmeye yönlendirir.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ürünündeki bir güçlü yönü ve bir geliştirme noktasını belirler.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Geri bildirim sonrası düzeltilmiş öğrenci ürünü.</w:t>
      </w:r>
    </w:p>
    <w:p>
      <w:pPr>
        <w:pStyle w:val="Heading2"/>
        <w:keepNext/>
      </w:pPr>
      <w:r>
        <w:rPr>
          <w:rFonts w:ascii="Times New Roman" w:hAnsi="Times New Roman"/>
          <w:b/>
          <w:color w:val="000000"/>
          <w:sz w:val="21"/>
        </w:rPr>
        <w:t>Üçüncü Ders Saati</w:t>
      </w:r>
    </w:p>
    <w:p>
      <w:pPr>
        <w:pStyle w:val="Stage"/>
      </w:pPr>
      <w:r>
        <w:rPr>
          <w:rFonts w:ascii="Times New Roman" w:hAnsi="Times New Roman"/>
          <w:b/>
          <w:color w:val="000000"/>
          <w:sz w:val="20"/>
        </w:rPr>
        <w:t>Bulguyu açıklama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sınıfta ortak tablo veya kavram haritası oluşturur. Sonucun hangi çizim, ölçüm veya örüntüden çıkarıldığını açıklatır.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bulgusunu ortak tabloya ekler; başka grubun bulgusuyla benzerlik ve farklılıkları belirtir.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Kanıtla uyumlu açıklama.</w:t>
      </w:r>
    </w:p>
    <w:p>
      <w:pPr>
        <w:pStyle w:val="Stage"/>
      </w:pPr>
      <w:r>
        <w:rPr>
          <w:rFonts w:ascii="Times New Roman" w:hAnsi="Times New Roman"/>
          <w:b/>
          <w:color w:val="000000"/>
          <w:sz w:val="20"/>
        </w:rPr>
        <w:t>Ürün oluşturma (20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öğrencilerden model kurma çalışması, grafik ve bağlama uygun yorum metni tamamlamalarını ister; matematiksel gösterimin doğruluğu ve açıklamanın anlaşılır olması ölçütlerini hatırlatır.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bireysel veya grup ürününü hazırlar; gerektiğinde çizim, etiketleme ve sözlü açıklama kullanır.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Öğrenci ürünü ve akran/öz değerlendirme.</w:t>
      </w:r>
    </w:p>
    <w:p>
      <w:pPr>
        <w:pStyle w:val="Stage"/>
      </w:pPr>
      <w:r>
        <w:rPr>
          <w:rFonts w:ascii="Times New Roman" w:hAnsi="Times New Roman"/>
          <w:b/>
          <w:color w:val="000000"/>
          <w:sz w:val="20"/>
        </w:rPr>
        <w:t>Paylaşım ve transfer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kavramın günlük yaşamda veya yeni bir matematiksel durumda nasıl kullanılabileceğini sorar.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ürünü kısa sunar ve kullandığı ilişkiyi yeni bir örnekle açıklar.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Gerekçeli transfer yanıtı.</w:t>
      </w:r>
    </w:p>
    <w:p>
      <w:pPr>
        <w:pStyle w:val="Heading2"/>
        <w:keepNext/>
      </w:pPr>
      <w:r>
        <w:rPr>
          <w:rFonts w:ascii="Times New Roman" w:hAnsi="Times New Roman"/>
          <w:b/>
          <w:color w:val="000000"/>
          <w:sz w:val="21"/>
        </w:rPr>
        <w:t>Dördüncü Ders Saati</w:t>
      </w:r>
    </w:p>
    <w:p>
      <w:pPr>
        <w:pStyle w:val="Stage"/>
      </w:pPr>
      <w:r>
        <w:rPr>
          <w:rFonts w:ascii="Times New Roman" w:hAnsi="Times New Roman"/>
          <w:b/>
          <w:color w:val="000000"/>
          <w:sz w:val="20"/>
        </w:rPr>
        <w:t>Pekiştirme (12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yapılandırılmış kısa soru, şema tamamlama veya eşleştirme etkinliği uygular.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etkinliği bireysel tamamlar; bir çözüm yolunu arkadaşına açıklar.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Bireysel pekiştirme etkinliği.</w:t>
      </w:r>
    </w:p>
    <w:p>
      <w:pPr>
        <w:pStyle w:val="Stage"/>
      </w:pPr>
      <w:r>
        <w:rPr>
          <w:rFonts w:ascii="Times New Roman" w:hAnsi="Times New Roman"/>
          <w:b/>
          <w:color w:val="000000"/>
          <w:sz w:val="20"/>
        </w:rPr>
        <w:t>Farklılaştırılmış çalışma (18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desteğe ihtiyaç duyanlar için daha somut model ve yarı tamamlanmış şema; hızlı ilerleyenler için yeni durum üzerinde gerekçelendirme görevi sunar.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ihtiyacına uygun görevi seçer ve aldığı dönütle ürününü tamamlar.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Seçilen görevin tamamlanması.</w:t>
      </w:r>
    </w:p>
    <w:p>
      <w:pPr>
        <w:pStyle w:val="Stage"/>
      </w:pPr>
      <w:r>
        <w:rPr>
          <w:rFonts w:ascii="Times New Roman" w:hAnsi="Times New Roman"/>
          <w:b/>
          <w:color w:val="000000"/>
          <w:sz w:val="20"/>
        </w:rPr>
        <w:t>Çıkış bileti ve kapanış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“Bu hafta öğrendiğim ilişki...”, “Bunu gösteren kanıt...” ve “Bir sonraki derste merak ettiğim...” cümlelerini verir.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çıkış biletini tamamlar ve gerekli desteği belirtir.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Çıkış bileti ve sonraki haftaya ilişkin yansıtma notu.</w:t>
      </w:r>
    </w:p>
    <w:p>
      <w:pPr>
        <w:pStyle w:val="Heading2"/>
        <w:keepNext/>
      </w:pPr>
      <w:r>
        <w:rPr>
          <w:rFonts w:ascii="Times New Roman" w:hAnsi="Times New Roman"/>
          <w:b/>
          <w:color w:val="000000"/>
          <w:sz w:val="21"/>
        </w:rPr>
        <w:t>Beşinci Ders Saati</w:t>
      </w:r>
    </w:p>
    <w:p>
      <w:pPr>
        <w:pStyle w:val="Stage"/>
      </w:pPr>
      <w:r>
        <w:rPr>
          <w:rFonts w:ascii="Times New Roman" w:hAnsi="Times New Roman"/>
          <w:b/>
          <w:color w:val="000000"/>
          <w:sz w:val="20"/>
        </w:rPr>
        <w:t>Önceki öğrenmeleri ilişkilendirme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haftanın çalışmalarından seçilmiş iki farklı çözüm yolunu karşılaştırmaya açar. Öğrencilerden kullanılan temsil, işlem veya gerekçedeki ortak yönleri belirtmelerini ister.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kendi çözümü ile örnek çözümleri karşılaştırır; hangi adımın sonucu güvenilir kıldığını açıklar.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Karşılaştırma notu ve sözlü gerekçe.</w:t>
      </w:r>
    </w:p>
    <w:p>
      <w:pPr>
        <w:pStyle w:val="Stage"/>
      </w:pPr>
      <w:r>
        <w:rPr>
          <w:rFonts w:ascii="Times New Roman" w:hAnsi="Times New Roman"/>
          <w:b/>
          <w:color w:val="000000"/>
          <w:sz w:val="20"/>
        </w:rPr>
        <w:t>Uygulama görevi (20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üstel ve logaritmik fonksiyonlar kapsamındaki öğrenme çıktısını yeni bir bağlamda kullanmayı gerektiren kısa uygulama görevi verir; gerektiğinde somut materyal ve yönlendirici sorularla destek sunar.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uygun matematiksel temsili seçer, çözümünü veya çıkarımını kayıt altına alır ve sonucu kontrol eder.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Gerekçeli uygulama ürünü.</w:t>
      </w:r>
    </w:p>
    <w:p>
      <w:pPr>
        <w:pStyle w:val="Stage"/>
      </w:pPr>
      <w:r>
        <w:rPr>
          <w:rFonts w:ascii="Times New Roman" w:hAnsi="Times New Roman"/>
          <w:b/>
          <w:color w:val="000000"/>
          <w:sz w:val="20"/>
        </w:rPr>
        <w:t>Haftalık öğrenme değerlendirmesi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ölçme kanıtlarını gözden geçirir; sonraki hafta için tekrar, destekleme veya zenginleştirme ihtiyacını not eder.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haftanın öğrenme hedefiyle ilgili öz değerlendirme yapar ve bir sonraki çalışmaya hazırlık sorusunu yanıtlar.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Öz değerlendirme ve öğretmen gözlem notu.</w:t>
      </w:r>
    </w:p>
    <w:p>
      <w:pPr>
        <w:pStyle w:val="Heading2"/>
        <w:keepNext/>
      </w:pPr>
      <w:r>
        <w:rPr>
          <w:rFonts w:ascii="Times New Roman" w:hAnsi="Times New Roman"/>
          <w:b/>
          <w:color w:val="000000"/>
          <w:sz w:val="21"/>
        </w:rPr>
        <w:t>Altıncı Ders Saati</w:t>
      </w:r>
    </w:p>
    <w:p>
      <w:pPr>
        <w:pStyle w:val="Stage"/>
      </w:pPr>
      <w:r>
        <w:rPr>
          <w:rFonts w:ascii="Times New Roman" w:hAnsi="Times New Roman"/>
          <w:b/>
          <w:color w:val="000000"/>
          <w:sz w:val="20"/>
        </w:rPr>
        <w:t>Uygulama, kontrol ve tamamlayıcı değerlendirme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haftanın öğrenme çıktısına uygun kısa bir problem veya veri yorumlama görevi verir; kullanılan matematiksel temsil ile gerekçe arasındaki ilişkiyi izler.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çözüm veya inceleme adımlarını düzenler; sonucunu farklı bir gösterim, kontrol işlemi ya da akran açıklamasıyla sınar.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Çözüm yolu, kontrol adımı ve gerekçeli sonuç.</w:t>
      </w:r>
    </w:p>
    <w:p>
      <w:pPr>
        <w:pStyle w:val="Stage"/>
      </w:pPr>
      <w:r>
        <w:rPr>
          <w:rFonts w:ascii="Times New Roman" w:hAnsi="Times New Roman"/>
          <w:b/>
          <w:color w:val="000000"/>
          <w:sz w:val="20"/>
        </w:rPr>
        <w:t>Geri bildirim ve bireysel tamamlama (20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öğrenci ürünlerinden seçilen örnekler üzerinden doğru yaklaşımı, yaygın yanılgıyı ve geliştirme adımını görünür hâle getirir.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kendi ürününü ölçütlere göre gözden geçirir; gerekirse düzeltme yapar ve eksik kalan adımı tamamlar.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Düzeltilmiş öğrenci ürünü ve öz değerlendirme notu.</w:t>
      </w:r>
    </w:p>
    <w:p>
      <w:pPr>
        <w:pStyle w:val="Stage"/>
      </w:pPr>
      <w:r>
        <w:rPr>
          <w:rFonts w:ascii="Times New Roman" w:hAnsi="Times New Roman"/>
          <w:b/>
          <w:color w:val="000000"/>
          <w:sz w:val="20"/>
        </w:rPr>
        <w:t>Haftayı kapatma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bir sonraki haftanın içeriğine geçişi sağlayacak kısa bir hazırlık sorusu yöneltir ve destekleme ihtiyacını kaydeder.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haftanın temel ilişkisini bir cümleyle özetler ve sonraki öğrenmeye ilişkin sorusunu yazar.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Kapanış notu ve sonraki haftaya hazırlık sorusu.</w:t>
      </w:r>
    </w:p>
    <w:p>
      <w:pPr>
        <w:pStyle w:val="Heading1"/>
        <w:keepNext/>
      </w:pPr>
      <w:r>
        <w:rPr>
          <w:rFonts w:ascii="Times New Roman" w:hAnsi="Times New Roman"/>
          <w:b/>
          <w:color w:val="000000"/>
          <w:sz w:val="22"/>
        </w:rPr>
        <w:t>Farklılaştırma</w:t>
      </w:r>
    </w:p>
    <w:p>
      <w:pPr>
        <w:spacing w:after="80" w:line="264" w:lineRule="auto"/>
        <w:ind w:firstLine="255"/>
      </w:pPr>
      <w:r>
        <w:rPr>
          <w:rFonts w:ascii="Times New Roman" w:hAnsi="Times New Roman"/>
          <w:b/>
          <w:color w:val="000000"/>
          <w:sz w:val="20"/>
        </w:rPr>
        <w:t xml:space="preserve">Destekleme: </w:t>
      </w:r>
      <w:r>
        <w:rPr>
          <w:rFonts w:ascii="Times New Roman" w:hAnsi="Times New Roman"/>
          <w:b w:val="0"/>
          <w:color w:val="000000"/>
          <w:sz w:val="20"/>
        </w:rPr>
        <w:t>Kavramı veya işlem basamağını ayırt etmekte zorlanan öğrenciler için somut materyal, yarı tamamlanmış çizim/tablo, kısa yönerge ve öğretmen modellemesi kullanılır. Öğrenci öğrenmesini çizim, etiketleme ya da sözlü açıklama yoluyla da gösterebilir.</w:t>
      </w:r>
    </w:p>
    <w:p>
      <w:pPr>
        <w:spacing w:after="120" w:line="264" w:lineRule="auto"/>
        <w:ind w:firstLine="255"/>
      </w:pPr>
      <w:r>
        <w:rPr>
          <w:rFonts w:ascii="Times New Roman" w:hAnsi="Times New Roman"/>
          <w:b/>
          <w:color w:val="000000"/>
          <w:sz w:val="20"/>
        </w:rPr>
        <w:t xml:space="preserve">Zenginleştirme: </w:t>
      </w:r>
      <w:r>
        <w:rPr>
          <w:rFonts w:ascii="Times New Roman" w:hAnsi="Times New Roman"/>
          <w:b w:val="0"/>
          <w:color w:val="000000"/>
          <w:sz w:val="20"/>
        </w:rPr>
        <w:t>Hazır etkinliği tamamlayan öğrencilerden üstel ve logaritmik fonksiyonlar ile ilgili yeni bir örnek tasarlamaları, kullandıkları matematiksel ilişkiyi ve gerekçesini açıklamaları istenir.</w:t>
      </w:r>
    </w:p>
    <w:p>
      <w:r>
        <w:br w:type="page"/>
      </w:r>
    </w:p>
    <w:p>
      <w:pPr>
        <w:pStyle w:val="Heading1"/>
        <w:keepNext/>
      </w:pPr>
      <w:r>
        <w:rPr>
          <w:rFonts w:ascii="Times New Roman" w:hAnsi="Times New Roman"/>
          <w:b/>
          <w:color w:val="000000"/>
          <w:sz w:val="22"/>
        </w:rPr>
        <w:t>Ölçme ve Değerlendirme</w:t>
      </w:r>
    </w:p>
    <w:p>
      <w:pPr>
        <w:spacing w:after="80" w:line="264" w:lineRule="auto"/>
        <w:ind w:firstLine="255"/>
      </w:pPr>
      <w:r>
        <w:rPr>
          <w:rFonts w:ascii="Times New Roman" w:hAnsi="Times New Roman"/>
          <w:b/>
          <w:color w:val="000000"/>
          <w:sz w:val="20"/>
        </w:rPr>
        <w:t xml:space="preserve">Değerlendirme yaklaşımı: </w:t>
      </w:r>
      <w:r>
        <w:rPr>
          <w:rFonts w:ascii="Times New Roman" w:hAnsi="Times New Roman"/>
          <w:b w:val="0"/>
          <w:color w:val="000000"/>
          <w:sz w:val="20"/>
        </w:rPr>
        <w:t>Süreç içi gözlem, çalışma kâğıdı, öğrenci ürünü, akran/öz değerlendirme ve çıkış bileti birlikte kullanılır. Öğrencinin yalnızca sonucu değil, matematiksel temsilini, gerekçelendirmesini ve geri bildirimden yararlanma biçimi de değerlendirilir.</w:t>
      </w:r>
    </w:p>
    <w:tbl>
      <w:tblPr>
        <w:tblW w:type="auto" w:w="0"/>
        <w:jc w:val="center"/>
        <w:tblLook w:firstColumn="1" w:firstRow="1" w:lastColumn="0" w:lastRow="0" w:noHBand="0" w:noVBand="1" w:val="04A0"/>
      </w:tblPr>
      <w:tblGrid>
        <w:gridCol w:w="3289"/>
        <w:gridCol w:w="3289"/>
        <w:gridCol w:w="3289"/>
      </w:tblGrid>
      <w:tr>
        <w:tc>
          <w:tcPr>
            <w:tcW w:type="dxa" w:w="3289"/>
            <w:vAlign w:val="center"/>
            <w:tcBorders>
              <w:top w:val="single" w:sz="6" w:color="B7C3CE"/>
              <w:left w:val="single" w:sz="6" w:color="B7C3CE"/>
              <w:bottom w:val="single" w:sz="6" w:color="B7C3CE"/>
              <w:right w:val="single" w:sz="6" w:color="B7C3CE"/>
            </w:tcBorders>
            <w:shd w:fill="D6E4EF"/>
          </w:tcPr>
          <w:p>
            <w:pPr>
              <w:spacing w:after="0" w:line="240" w:lineRule="auto"/>
              <w:jc w:val="center"/>
            </w:pPr>
            <w:r>
              <w:rPr>
                <w:rFonts w:ascii="Times New Roman" w:hAnsi="Times New Roman"/>
                <w:b/>
                <w:color w:val="000000"/>
                <w:sz w:val="18"/>
              </w:rPr>
              <w:t>Gözlenecek Öğrenme Kanıtı</w:t>
            </w:r>
          </w:p>
        </w:tc>
        <w:tc>
          <w:tcPr>
            <w:tcW w:type="dxa" w:w="3289"/>
            <w:vAlign w:val="center"/>
            <w:tcBorders>
              <w:top w:val="single" w:sz="6" w:color="B7C3CE"/>
              <w:left w:val="single" w:sz="6" w:color="B7C3CE"/>
              <w:bottom w:val="single" w:sz="6" w:color="B7C3CE"/>
              <w:right w:val="single" w:sz="6" w:color="B7C3CE"/>
            </w:tcBorders>
            <w:shd w:fill="D6E4EF"/>
          </w:tcPr>
          <w:p>
            <w:pPr>
              <w:spacing w:after="0" w:line="240" w:lineRule="auto"/>
              <w:jc w:val="center"/>
            </w:pPr>
            <w:r>
              <w:rPr>
                <w:rFonts w:ascii="Times New Roman" w:hAnsi="Times New Roman"/>
                <w:b/>
                <w:color w:val="000000"/>
                <w:sz w:val="18"/>
              </w:rPr>
              <w:t>Gözlendi</w:t>
            </w:r>
          </w:p>
        </w:tc>
        <w:tc>
          <w:tcPr>
            <w:tcW w:type="dxa" w:w="3289"/>
            <w:vAlign w:val="center"/>
            <w:tcBorders>
              <w:top w:val="single" w:sz="6" w:color="B7C3CE"/>
              <w:left w:val="single" w:sz="6" w:color="B7C3CE"/>
              <w:bottom w:val="single" w:sz="6" w:color="B7C3CE"/>
              <w:right w:val="single" w:sz="6" w:color="B7C3CE"/>
            </w:tcBorders>
            <w:shd w:fill="D6E4EF"/>
          </w:tcPr>
          <w:p>
            <w:pPr>
              <w:spacing w:after="0" w:line="240" w:lineRule="auto"/>
              <w:jc w:val="center"/>
            </w:pPr>
            <w:r>
              <w:rPr>
                <w:rFonts w:ascii="Times New Roman" w:hAnsi="Times New Roman"/>
                <w:b/>
                <w:color w:val="000000"/>
                <w:sz w:val="18"/>
              </w:rPr>
              <w:t>Desteğe İhtiyaç Var</w:t>
            </w:r>
          </w:p>
        </w:tc>
      </w:tr>
      <w:tr>
        <w:tc>
          <w:tcPr>
            <w:tcW w:type="dxa" w:w="3289"/>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Üstel ve logaritmik fonksiyonları gerçek hayat durumlarını modellemede kullanır.</w:t>
            </w:r>
          </w:p>
        </w:tc>
        <w:tc>
          <w:tcPr>
            <w:tcW w:type="dxa" w:w="3289"/>
            <w:vAlign w:val="center"/>
            <w:tcBorders>
              <w:top w:val="single" w:sz="6" w:color="B7C3CE"/>
              <w:left w:val="single" w:sz="6" w:color="B7C3CE"/>
              <w:bottom w:val="single" w:sz="6" w:color="B7C3CE"/>
              <w:right w:val="single" w:sz="6"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6" w:color="B7C3CE"/>
              <w:left w:val="single" w:sz="6" w:color="B7C3CE"/>
              <w:bottom w:val="single" w:sz="6" w:color="B7C3CE"/>
              <w:right w:val="single" w:sz="6" w:color="B7C3CE"/>
            </w:tcBorders>
          </w:tcPr>
          <w:p>
            <w:pPr>
              <w:spacing w:after="0" w:line="240" w:lineRule="auto"/>
              <w:jc w:val="center"/>
            </w:pPr>
            <w:r>
              <w:rPr>
                <w:rFonts w:ascii="Times New Roman" w:hAnsi="Times New Roman"/>
                <w:b w:val="0"/>
                <w:color w:val="000000"/>
                <w:sz w:val="18"/>
              </w:rPr>
              <w:t>□</w:t>
            </w:r>
          </w:p>
        </w:tc>
      </w:tr>
      <w:tr>
        <w:tc>
          <w:tcPr>
            <w:tcW w:type="dxa" w:w="3289"/>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Çizim, ölçüm, tablo veya temsilini doğru matematiksel gösterimle ilişkilendirir.</w:t>
            </w:r>
          </w:p>
        </w:tc>
        <w:tc>
          <w:tcPr>
            <w:tcW w:type="dxa" w:w="3289"/>
            <w:vAlign w:val="center"/>
            <w:tcBorders>
              <w:top w:val="single" w:sz="6" w:color="B7C3CE"/>
              <w:left w:val="single" w:sz="6" w:color="B7C3CE"/>
              <w:bottom w:val="single" w:sz="6" w:color="B7C3CE"/>
              <w:right w:val="single" w:sz="6"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6" w:color="B7C3CE"/>
              <w:left w:val="single" w:sz="6" w:color="B7C3CE"/>
              <w:bottom w:val="single" w:sz="6" w:color="B7C3CE"/>
              <w:right w:val="single" w:sz="6" w:color="B7C3CE"/>
            </w:tcBorders>
          </w:tcPr>
          <w:p>
            <w:pPr>
              <w:spacing w:after="0" w:line="240" w:lineRule="auto"/>
              <w:jc w:val="center"/>
            </w:pPr>
            <w:r>
              <w:rPr>
                <w:rFonts w:ascii="Times New Roman" w:hAnsi="Times New Roman"/>
                <w:b w:val="0"/>
                <w:color w:val="000000"/>
                <w:sz w:val="18"/>
              </w:rPr>
              <w:t>□</w:t>
            </w:r>
          </w:p>
        </w:tc>
      </w:tr>
      <w:tr>
        <w:tc>
          <w:tcPr>
            <w:tcW w:type="dxa" w:w="3289"/>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Çözümünün veya çıkarımının gerekçesini açıklar.</w:t>
            </w:r>
          </w:p>
        </w:tc>
        <w:tc>
          <w:tcPr>
            <w:tcW w:type="dxa" w:w="3289"/>
            <w:vAlign w:val="center"/>
            <w:tcBorders>
              <w:top w:val="single" w:sz="6" w:color="B7C3CE"/>
              <w:left w:val="single" w:sz="6" w:color="B7C3CE"/>
              <w:bottom w:val="single" w:sz="6" w:color="B7C3CE"/>
              <w:right w:val="single" w:sz="6"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6" w:color="B7C3CE"/>
              <w:left w:val="single" w:sz="6" w:color="B7C3CE"/>
              <w:bottom w:val="single" w:sz="6" w:color="B7C3CE"/>
              <w:right w:val="single" w:sz="6" w:color="B7C3CE"/>
            </w:tcBorders>
          </w:tcPr>
          <w:p>
            <w:pPr>
              <w:spacing w:after="0" w:line="240" w:lineRule="auto"/>
              <w:jc w:val="center"/>
            </w:pPr>
            <w:r>
              <w:rPr>
                <w:rFonts w:ascii="Times New Roman" w:hAnsi="Times New Roman"/>
                <w:b w:val="0"/>
                <w:color w:val="000000"/>
                <w:sz w:val="18"/>
              </w:rPr>
              <w:t>□</w:t>
            </w:r>
          </w:p>
        </w:tc>
      </w:tr>
      <w:tr>
        <w:tc>
          <w:tcPr>
            <w:tcW w:type="dxa" w:w="3289"/>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Geri bildirimden yararlanarak ürününde en az bir iyileştirme yapar.</w:t>
            </w:r>
          </w:p>
        </w:tc>
        <w:tc>
          <w:tcPr>
            <w:tcW w:type="dxa" w:w="3289"/>
            <w:vAlign w:val="center"/>
            <w:tcBorders>
              <w:top w:val="single" w:sz="6" w:color="B7C3CE"/>
              <w:left w:val="single" w:sz="6" w:color="B7C3CE"/>
              <w:bottom w:val="single" w:sz="6" w:color="B7C3CE"/>
              <w:right w:val="single" w:sz="6"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6" w:color="B7C3CE"/>
              <w:left w:val="single" w:sz="6" w:color="B7C3CE"/>
              <w:bottom w:val="single" w:sz="6" w:color="B7C3CE"/>
              <w:right w:val="single" w:sz="6" w:color="B7C3CE"/>
            </w:tcBorders>
          </w:tcPr>
          <w:p>
            <w:pPr>
              <w:spacing w:after="0" w:line="240" w:lineRule="auto"/>
              <w:jc w:val="center"/>
            </w:pPr>
            <w:r>
              <w:rPr>
                <w:rFonts w:ascii="Times New Roman" w:hAnsi="Times New Roman"/>
                <w:b w:val="0"/>
                <w:color w:val="000000"/>
                <w:sz w:val="18"/>
              </w:rPr>
              <w:t>□</w:t>
            </w:r>
          </w:p>
        </w:tc>
      </w:tr>
    </w:tbl>
    <w:p>
      <w:pPr>
        <w:pStyle w:val="Heading1"/>
        <w:keepNext/>
      </w:pPr>
      <w:r>
        <w:rPr>
          <w:rFonts w:ascii="Times New Roman" w:hAnsi="Times New Roman"/>
          <w:b/>
          <w:color w:val="000000"/>
          <w:sz w:val="22"/>
        </w:rPr>
        <w:t>Sınıf Defterine Yazılacak İfade</w:t>
      </w:r>
    </w:p>
    <w:p>
      <w:pPr>
        <w:spacing w:after="100" w:line="264" w:lineRule="auto"/>
        <w:ind w:firstLine="255"/>
      </w:pPr>
      <w:r>
        <w:rPr>
          <w:rFonts w:ascii="Times New Roman" w:hAnsi="Times New Roman"/>
          <w:b/>
          <w:color w:val="000000"/>
          <w:sz w:val="20"/>
        </w:rPr>
        <w:t xml:space="preserve">Defter kaydı: </w:t>
      </w:r>
      <w:r>
        <w:rPr>
          <w:rFonts w:ascii="Times New Roman" w:hAnsi="Times New Roman"/>
          <w:b w:val="0"/>
          <w:color w:val="000000"/>
          <w:sz w:val="20"/>
        </w:rPr>
        <w:t>Üstel ve logaritmik fonksiyonlar gerçek hayat durumlarının modellenmesinde kullanıldı.</w:t>
      </w:r>
    </w:p>
    <w:p>
      <w:pPr>
        <w:pStyle w:val="Heading1"/>
        <w:keepNext/>
      </w:pPr>
      <w:r>
        <w:rPr>
          <w:rFonts w:ascii="Times New Roman" w:hAnsi="Times New Roman"/>
          <w:b/>
          <w:color w:val="000000"/>
          <w:sz w:val="22"/>
        </w:rPr>
        <w:t>Öğretmen Yansıtması ve Sonraki Haftaya Hazırlık</w:t>
      </w:r>
    </w:p>
    <w:p>
      <w:pPr>
        <w:spacing w:after="120"/>
      </w:pPr>
      <w:r>
        <w:rPr>
          <w:rFonts w:ascii="Times New Roman" w:hAnsi="Times New Roman"/>
          <w:b w:val="0"/>
          <w:color w:val="000000"/>
          <w:sz w:val="20"/>
        </w:rPr>
        <w:t>Öğrencilerin en çok zorlandığı kavram veya ilişki: ........................................................................................................................................</w:t>
      </w:r>
    </w:p>
    <w:p>
      <w:pPr>
        <w:spacing w:after="120"/>
      </w:pPr>
      <w:r>
        <w:rPr>
          <w:rFonts w:ascii="Times New Roman" w:hAnsi="Times New Roman"/>
          <w:b w:val="0"/>
          <w:color w:val="000000"/>
          <w:sz w:val="20"/>
        </w:rPr>
        <w:t>Bir sonraki uygulamada korunacak ya da değiştirilecek öğretim adımı: ..................................................................................................................</w:t>
      </w:r>
    </w:p>
    <w:p>
      <w:pPr>
        <w:spacing w:after="120"/>
      </w:pPr>
      <w:r>
        <w:rPr>
          <w:rFonts w:ascii="Times New Roman" w:hAnsi="Times New Roman"/>
          <w:b w:val="0"/>
          <w:color w:val="000000"/>
          <w:sz w:val="20"/>
        </w:rPr>
        <w:t>Destekleme veya zenginleştirme ihtiyacı görülen öğrenci grubu / çalışma: .............................................................................................................</w:t>
      </w:r>
    </w:p>
    <w:p>
      <w:pPr>
        <w:pStyle w:val="Heading1"/>
        <w:keepNext/>
      </w:pPr>
      <w:r>
        <w:rPr>
          <w:rFonts w:ascii="Times New Roman" w:hAnsi="Times New Roman"/>
          <w:b/>
          <w:color w:val="000000"/>
          <w:sz w:val="22"/>
        </w:rPr>
        <w:t>İmza</w:t>
      </w:r>
    </w:p>
    <w:p>
      <w:pPr>
        <w:spacing w:before="180" w:after="0"/>
        <w:jc w:val="center"/>
      </w:pPr>
      <w:r>
        <w:rPr>
          <w:rFonts w:ascii="Times New Roman" w:hAnsi="Times New Roman"/>
          <w:b w:val="0"/>
          <w:color w:val="000000"/>
          <w:sz w:val="20"/>
        </w:rPr>
        <w:t>19 Ekim 2026</w:t>
      </w:r>
    </w:p>
    <w:p>
      <w:pPr>
        <w:spacing w:before="0" w:after="0"/>
        <w:jc w:val="center"/>
      </w:pPr>
      <w:r>
        <w:rPr>
          <w:rFonts w:ascii="Times New Roman" w:hAnsi="Times New Roman"/>
          <w:b/>
          <w:color w:val="000000"/>
          <w:sz w:val="20"/>
        </w:rPr>
        <w:t>Ders Öğretmeni</w:t>
      </w:r>
    </w:p>
    <w:p>
      <w:pPr>
        <w:spacing w:before="0" w:after="0"/>
        <w:jc w:val="center"/>
      </w:pPr>
      <w:r>
        <w:rPr>
          <w:rFonts w:ascii="Times New Roman" w:hAnsi="Times New Roman"/>
          <w:b w:val="0"/>
          <w:color w:val="000000"/>
          <w:sz w:val="20"/>
        </w:rPr>
        <w:t>........................................................</w:t>
      </w:r>
    </w:p>
    <w:p>
      <w:pPr>
        <w:spacing w:before="0" w:after="0"/>
        <w:jc w:val="center"/>
      </w:pPr>
      <w:r>
        <w:rPr>
          <w:rFonts w:ascii="Times New Roman" w:hAnsi="Times New Roman"/>
          <w:b w:val="0"/>
          <w:color w:val="000000"/>
          <w:sz w:val="20"/>
        </w:rPr>
        <w:t>İmza</w:t>
      </w:r>
    </w:p>
    <w:sectPr w:rsidR="00FC693F" w:rsidRPr="0006063C" w:rsidSect="00034616">
      <w:pgSz w:w="11906" w:h="16838"/>
      <w:pgMar w:top="964" w:right="1020" w:bottom="964"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64" w:lineRule="auto"/>
      <w:jc w:val="both"/>
    </w:pPr>
    <w:rPr>
      <w:rFonts w:ascii="Times New Roman" w:hAnsi="Times New Roman"/>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80" w:line="264" w:lineRule="auto"/>
      <w:outlineLvl w:val="0"/>
    </w:pPr>
    <w:rPr>
      <w:rFonts w:asciiTheme="majorHAnsi" w:eastAsiaTheme="majorEastAsia" w:hAnsiTheme="majorHAnsi" w:cstheme="majorBidi" w:ascii="Times New Roman" w:hAnsi="Times New Roman"/>
      <w:b/>
      <w:bCs/>
      <w:color w:val="000000"/>
      <w:sz w:val="20"/>
      <w:szCs w:val="28"/>
    </w:rPr>
  </w:style>
  <w:style w:type="paragraph" w:styleId="Heading2">
    <w:name w:val="heading 2"/>
    <w:basedOn w:val="Normal"/>
    <w:next w:val="Normal"/>
    <w:link w:val="Heading2Char"/>
    <w:uiPriority w:val="9"/>
    <w:unhideWhenUsed/>
    <w:qFormat/>
    <w:rsid w:val="00FC693F"/>
    <w:pPr>
      <w:keepNext/>
      <w:keepLines/>
      <w:spacing w:before="100" w:after="80" w:line="264" w:lineRule="auto"/>
      <w:outlineLvl w:val="1"/>
    </w:pPr>
    <w:rPr>
      <w:rFonts w:asciiTheme="majorHAnsi" w:eastAsiaTheme="majorEastAsia" w:hAnsiTheme="majorHAnsi" w:cstheme="majorBidi" w:ascii="Times New Roman" w:hAnsi="Times New Roman"/>
      <w:b/>
      <w:bCs/>
      <w:color w:val="000000"/>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80" w:line="264" w:lineRule="auto"/>
      <w:contextualSpacing/>
      <w:jc w:val="center"/>
    </w:pPr>
    <w:rPr>
      <w:rFonts w:asciiTheme="majorHAnsi" w:eastAsiaTheme="majorEastAsia" w:hAnsiTheme="majorHAnsi" w:cstheme="majorBidi" w:ascii="Times New Roman" w:hAnsi="Times New Roman"/>
      <w:b/>
      <w:color w:val="000000"/>
      <w:spacing w:val="5"/>
      <w:kern w:val="28"/>
      <w:sz w:val="2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tage">
    <w:name w:val="Stage"/>
    <w:basedOn w:val="Normal"/>
    <w:pPr>
      <w:spacing w:before="120" w:after="40"/>
      <w:ind w:firstLine="0"/>
    </w:pPr>
    <w:rPr>
      <w:rFonts w:ascii="Times New Roman" w:hAnsi="Times New Roman"/>
      <w:b/>
      <w:sz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2026-2027 12. Sınıf Matematik 6. Hafta Ders Planı</dc:title>
  <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