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ORTAOKULU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5. SINIF TÜRKÇE GÜNLÜK PLAN / DERS PLANI</w:t>
      </w:r>
    </w:p>
    <w:p>
      <w:pPr>
        <w:pStyle w:val="Title"/>
        <w:spacing w:after="160"/>
      </w:pPr>
      <w:r>
        <w:rPr>
          <w:rFonts w:ascii="Times New Roman" w:hAnsi="Times New Roman"/>
          <w:b/>
          <w:color w:val="000000"/>
          <w:sz w:val="24"/>
        </w:rPr>
        <w:t>2. HAFTA</w:t>
      </w:r>
    </w:p>
    <w:tbl>
      <w:tblPr>
        <w:tblW w:type="auto" w:w="0"/>
        <w:jc w:val="center"/>
        <w:tblLayout w:type="fixed"/>
        <w:tblLook w:firstColumn="1" w:firstRow="1" w:lastColumn="0" w:lastRow="0" w:noHBand="0" w:noVBand="1" w:val="04A0"/>
      </w:tblPr>
      <w:tblGrid>
        <w:gridCol w:w="2480"/>
        <w:gridCol w:w="2480"/>
        <w:gridCol w:w="2480"/>
        <w:gridCol w:w="2480"/>
      </w:tblGrid>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Kurum</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Eğitim Öğretim Yılı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2026-2027</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Türkçe</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Sınıf / Şube</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5 / ............</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 Hafta</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Uygulama Tarih Aralığı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21-25 Eylül 2026</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Toplam Ders Saati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6 ders saati</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Düzenleme / İmza Tarihi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21 Eylül 2026 Pazartesi</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Öğretmeni</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 Kitabı</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MEB Yayınları Türkçe Ders Kitabı</w:t>
            </w:r>
          </w:p>
        </w:tc>
      </w:tr>
      <w:tr>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Plan Türü</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Günlük Plan / Ders Planı</w:t>
            </w:r>
          </w:p>
        </w:tc>
        <w:tc>
          <w:tcPr>
            <w:tcW w:type="dxa" w:w="1899"/>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Dersin İşleneceği Gün ve Saat</w:t>
            </w:r>
          </w:p>
        </w:tc>
        <w:tc>
          <w:tcPr>
            <w:tcW w:type="dxa" w:w="2863"/>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Okul ders çizelgesine göre</w:t>
            </w:r>
          </w:p>
        </w:tc>
      </w:tr>
    </w:tbl>
    <w:p>
      <w:pPr>
        <w:pStyle w:val="Heading1"/>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61"/>
        <w:gridCol w:w="4961"/>
      </w:tblGrid>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Tema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Dünyası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Metin / Çalışma</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Oyun Durdu! metni ile okuma, konuşma ve yazma çalışmaları</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Haftanın Öğrenme Odağı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akıcı okuma, görselde iletilen anlamı belirleme, hazırlıksız konuşma ve içerik-yapı seçimi yaparak yazma</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Seçili Öğrenme Çıktıları</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T.O.5.2, T.O.5.3, T.O.5.6, T.O.5.7, T.O.5.15 ve T.O.5.20; T.K.5.1, T.K.5.7, T.K.5.8, T.K.5.17 ve T.K.5.20; T.Y.5.1, T.Y.5.2, T.Y.5.3, T.Y.5.6, T.Y.5.13 ve T.Y.5.16.</w:t>
            </w:r>
          </w:p>
        </w:tc>
      </w:tr>
      <w:tr>
        <w:tc>
          <w:tcPr>
            <w:tcW w:type="dxa" w:w="2438"/>
            <w:vAlign w:val="center"/>
            <w:tcBorders>
              <w:top w:val="single" w:sz="6" w:color="B9C4CC"/>
              <w:left w:val="single" w:sz="6" w:color="B9C4CC"/>
              <w:bottom w:val="single" w:sz="6" w:color="B9C4CC"/>
              <w:right w:val="single" w:sz="6" w:color="B9C4CC"/>
            </w:tcBorders>
            <w:shd w:fill="E7EEF2" w:val="clear"/>
          </w:tcPr>
          <w:p>
            <w:pPr>
              <w:spacing w:before="0" w:after="0" w:line="240" w:lineRule="auto"/>
              <w:jc w:val="left"/>
            </w:pPr>
            <w:r>
              <w:rPr>
                <w:rFonts w:ascii="Times New Roman" w:hAnsi="Times New Roman"/>
                <w:b/>
                <w:color w:val="000000"/>
                <w:sz w:val="18"/>
              </w:rPr>
              <w:t>Değerler ve Beceriler</w:t>
            </w:r>
          </w:p>
        </w:tc>
        <w:tc>
          <w:tcPr>
            <w:tcW w:type="dxa" w:w="7087"/>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8"/>
              </w:rPr>
              <w:t>İletişim, iş birliği, öz düzenleme, kültür okuryazarlığı, görsel okuryazarlık, sorumluluk ve saygı.</w:t>
            </w:r>
          </w:p>
        </w:tc>
      </w:tr>
    </w:tbl>
    <w:p>
      <w:pPr>
        <w:pStyle w:val="Heading1"/>
      </w:pPr>
      <w:r>
        <w:rPr>
          <w:rFonts w:ascii="Times New Roman" w:hAnsi="Times New Roman"/>
          <w:b/>
          <w:color w:val="000000"/>
          <w:sz w:val="22"/>
        </w:rPr>
        <w:t>Hazırbulunuşluk ve Ön Değerlendirme</w:t>
      </w:r>
    </w:p>
    <w:p>
      <w:pPr>
        <w:spacing w:after="80" w:line="259"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önceki hafta metnin başlığı, görselleri ve anahtar kelimelerinden hareketle tahmin yaptıkları kabul edilir.</w:t>
      </w:r>
    </w:p>
    <w:p>
      <w:pPr>
        <w:spacing w:after="80" w:line="259"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“Bir görsel ve bir metin birlikte okunduğunda anlamımız nasıl değişir?” sorusu yöneltilir. Yanıtlar not vermek için değil, öğrenme sürecindeki desteği belirlemek üzere öğretmen gözlem notlarıyla izlenir.</w:t>
      </w:r>
    </w:p>
    <w:p>
      <w:pPr>
        <w:pStyle w:val="Heading1"/>
      </w:pPr>
      <w:r>
        <w:rPr>
          <w:rFonts w:ascii="Times New Roman" w:hAnsi="Times New Roman"/>
          <w:b/>
          <w:color w:val="000000"/>
          <w:sz w:val="22"/>
        </w:rPr>
        <w:t>Araç Gereç ve Kaynaklar</w:t>
      </w:r>
    </w:p>
    <w:p>
      <w:pPr>
        <w:spacing w:after="80" w:line="259"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görsel-metin eşleştirme kartları, sözlük, akıcı okuma gözlem formu, konuşma kartları, yazma taslak kâğıdı.</w:t>
      </w:r>
    </w:p>
    <w:p>
      <w:pPr>
        <w:spacing w:after="80" w:line="259"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Metin, ders kitabı ve öğretmenin seçtiği yaş düzeyine uygun güvenilir kaynaklar üzerinden incelenir. Görsel, ses kaydı veya dijital içeriklerde telif ve kişisel veri kurallarına uyulur.</w:t>
      </w:r>
    </w:p>
    <w:p>
      <w:pPr>
        <w:pStyle w:val="Heading1"/>
      </w:pPr>
      <w:r>
        <w:rPr>
          <w:rFonts w:ascii="Times New Roman" w:hAnsi="Times New Roman"/>
          <w:b/>
          <w:color w:val="000000"/>
          <w:sz w:val="22"/>
        </w:rPr>
        <w:t>Öğrenme Öğretme Süreci</w:t>
      </w:r>
    </w:p>
    <w:p>
      <w:pPr>
        <w:spacing w:after="80" w:line="259"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40 dakikalık ders saatleri dikkate alınarak hazırlanmıştır. Etkinlik süreleri okulun ders çizelgesi, öğrencilerin hazırbulunuşluğu ve zümre kararları doğrultusunda uyarlanabilir.</w:t>
      </w:r>
    </w:p>
    <w:p>
      <w:pPr>
        <w:pStyle w:val="Heading2"/>
      </w:pPr>
      <w:r>
        <w:rPr>
          <w:rFonts w:ascii="Times New Roman" w:hAnsi="Times New Roman"/>
          <w:b/>
          <w:color w:val="000000"/>
          <w:sz w:val="20"/>
        </w:rPr>
        <w:t>Birinci Ders Saati</w:t>
      </w:r>
    </w:p>
    <w:p>
      <w:pPr>
        <w:pStyle w:val="Stage"/>
        <w:keepNext/>
      </w:pPr>
      <w:r>
        <w:rPr>
          <w:rFonts w:ascii="Times New Roman" w:hAnsi="Times New Roman"/>
          <w:b/>
          <w:color w:val="000000"/>
          <w:sz w:val="20"/>
        </w:rPr>
        <w:t>Dikkati çekme ve ön bilgiyi yoklama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 görsel ve bir metin birlikte okunduğunda anlamımız nasıl değişir?” sorusunu yöneltir. Öğrencilerin ilk yanıtlarını not vermek için değil, ders sürecindeki desteği belirlemek için toplar.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soruya kısa tahmin yazar veya sözlü cevap verir; bildiği ve araştırmak istediği bilgiyi ayırır.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cümlesi, tahmin kartı veya kısa sözlü açıklama.</w:t>
      </w:r>
    </w:p>
    <w:p>
      <w:pPr>
        <w:pStyle w:val="Stage"/>
        <w:keepNext/>
      </w:pPr>
      <w:r>
        <w:rPr>
          <w:rFonts w:ascii="Times New Roman" w:hAnsi="Times New Roman"/>
          <w:b/>
          <w:color w:val="000000"/>
          <w:sz w:val="20"/>
        </w:rPr>
        <w:t>Metinle karşılaşma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Oyun Durdu! metni ile okuma, konuşma ve yazma çalışmaları çalışmasının amacını açıklar; başlık, görsel, anahtar sözcük ve metin türü ipuçlarından yararlanmayı modelleyerek öğrencileri etkinliğe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 dinler, izler veya okur; önemli gördüğü ifadeleri işaretler ve anlamını bilmediği sözcükleri not eder.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İşaretlenmiş metin bölümü, dinleme/okuma notu ve sözcük listesi.</w:t>
      </w:r>
    </w:p>
    <w:p>
      <w:pPr>
        <w:pStyle w:val="Stage"/>
        <w:keepNext/>
      </w:pPr>
      <w:r>
        <w:rPr>
          <w:rFonts w:ascii="Times New Roman" w:hAnsi="Times New Roman"/>
          <w:b/>
          <w:color w:val="000000"/>
          <w:sz w:val="20"/>
        </w:rPr>
        <w:t>İlk bulguları paylaşma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metinden aldıkları ilk ipuçlarını sınıflandırır. Yanıtların kanıta dayanıp dayanmadığını sorgulayan kısa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bulgusunu metindeki bir ifade, görsel veya bölümle ilişkilendirerek paylaşır.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Kanıt göstererek yapılmış kısa paylaşım.</w:t>
      </w:r>
    </w:p>
    <w:p>
      <w:pPr>
        <w:pStyle w:val="Heading2"/>
      </w:pPr>
      <w:r>
        <w:rPr>
          <w:rFonts w:ascii="Times New Roman" w:hAnsi="Times New Roman"/>
          <w:b/>
          <w:color w:val="000000"/>
          <w:sz w:val="20"/>
        </w:rPr>
        <w:t>İkinci Ders Saati</w:t>
      </w:r>
    </w:p>
    <w:p>
      <w:pPr>
        <w:pStyle w:val="Stage"/>
        <w:keepNext/>
      </w:pPr>
      <w:r>
        <w:rPr>
          <w:rFonts w:ascii="Times New Roman" w:hAnsi="Times New Roman"/>
          <w:b/>
          <w:color w:val="000000"/>
          <w:sz w:val="20"/>
        </w:rPr>
        <w:t>Okuma veya dinleme stratejisini seçme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derste kullanılabilecek not alma, tahmin doğrulama, işaretleme veya soru-cevap stratejilerini örnekler. Öğrencilerin ihtiyacına uygun seçim yapmasına rehberlik eder.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kullanacağı stratejiyi seçer ve bunu neden seçtiğini kısa cümleyle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Seçilen strateji ve gerekçesi.</w:t>
      </w:r>
    </w:p>
    <w:p>
      <w:pPr>
        <w:pStyle w:val="Stage"/>
        <w:keepNext/>
      </w:pPr>
      <w:r>
        <w:rPr>
          <w:rFonts w:ascii="Times New Roman" w:hAnsi="Times New Roman"/>
          <w:b/>
          <w:color w:val="000000"/>
          <w:sz w:val="20"/>
        </w:rPr>
        <w:t>Anlam kurma ve söz varlığı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bağlamdaki ipuçlarını görünür kılar; öğrencilerin sözlük veya güvenilir başvuru kaynağından yararlanarak tahminini kontrol etmesini sağlar.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sözcüklerin anlamını bağlamdan tahmin eder, uygun kaynaktan doğrular ve kelimeyi yeni bir cümlede kullanır.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Söz varlığı tablosu ve doğru bağlam cümlesi.</w:t>
      </w:r>
    </w:p>
    <w:p>
      <w:pPr>
        <w:pStyle w:val="Stage"/>
        <w:keepNext/>
      </w:pPr>
      <w:r>
        <w:rPr>
          <w:rFonts w:ascii="Times New Roman" w:hAnsi="Times New Roman"/>
          <w:b/>
          <w:color w:val="000000"/>
          <w:sz w:val="20"/>
        </w:rPr>
        <w:t>Metin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metnin türüne göre olay, bilgi, yönerge veya mektup bölümlerinin nasıl izlenebileceğini sorularla yönlendirir.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önemli bölümünü, olayını, bilgisini veya işlem basamağını şema üzerinde gösterir.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Hikâye haritası, bilgi şeması veya işlem basamağı çizelgesi.</w:t>
      </w:r>
    </w:p>
    <w:p>
      <w:pPr>
        <w:pStyle w:val="Heading2"/>
      </w:pPr>
      <w:r>
        <w:rPr>
          <w:rFonts w:ascii="Times New Roman" w:hAnsi="Times New Roman"/>
          <w:b/>
          <w:color w:val="000000"/>
          <w:sz w:val="20"/>
        </w:rPr>
        <w:t>Üçüncü Ders Saati</w:t>
      </w:r>
    </w:p>
    <w:p>
      <w:pPr>
        <w:pStyle w:val="Stage"/>
        <w:keepNext/>
      </w:pPr>
      <w:r>
        <w:rPr>
          <w:rFonts w:ascii="Times New Roman" w:hAnsi="Times New Roman"/>
          <w:b/>
          <w:color w:val="000000"/>
          <w:sz w:val="20"/>
        </w:rPr>
        <w:t>Kanıta dayalı konuşma hazırlığı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konuşmanın amacı, dinleyicisi ve süresi için ölçütleri açıklar. Öğrencilerden metne dayanmayan genellemeleri kanıtla sınırlandırmalarını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söyleyecekleri iki ana düşünceyi ve her düşünce için metinden bir kanıtı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konuşma planı.</w:t>
      </w:r>
    </w:p>
    <w:p>
      <w:pPr>
        <w:pStyle w:val="Stage"/>
        <w:keepNext/>
      </w:pPr>
      <w:r>
        <w:rPr>
          <w:rFonts w:ascii="Times New Roman" w:hAnsi="Times New Roman"/>
          <w:b/>
          <w:color w:val="000000"/>
          <w:sz w:val="20"/>
        </w:rPr>
        <w:t>Sözlü etkileşim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ikili veya küçük grup konuşmalarını izler; söz alma-verme, ses tonu ve saygılı dinleme açısından gerekli geri bildirimi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metnin mesajı, oyunun kuralı, tarihî kişi veya mektuptaki bilgi hakkında görüş belirtir; arkadaşının görüşüne metin kanıtıyla cevap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Konuşma gözlem notu ve akran geri bildirimi.</w:t>
      </w:r>
    </w:p>
    <w:p>
      <w:pPr>
        <w:pStyle w:val="Stage"/>
        <w:keepNext/>
      </w:pPr>
      <w:r>
        <w:rPr>
          <w:rFonts w:ascii="Times New Roman" w:hAnsi="Times New Roman"/>
          <w:b/>
          <w:color w:val="000000"/>
          <w:sz w:val="20"/>
        </w:rPr>
        <w:t>Geri bildirimle düzenleme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birkaç öğrenci örneği üzerinden açık, ilgili ve kanıtlı anlatımın özelliklerini görünür kılar.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konuşma notundaki bir ifadeyi aldığı geri bildirime göre düzeltir veya güçlendirir.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konuşma notu.</w:t>
      </w:r>
    </w:p>
    <w:p>
      <w:pPr>
        <w:pStyle w:val="Heading2"/>
      </w:pPr>
      <w:r>
        <w:rPr>
          <w:rFonts w:ascii="Times New Roman" w:hAnsi="Times New Roman"/>
          <w:b/>
          <w:color w:val="000000"/>
          <w:sz w:val="20"/>
        </w:rPr>
        <w:t>Dördüncü Ders Saati</w:t>
      </w:r>
    </w:p>
    <w:p>
      <w:pPr>
        <w:pStyle w:val="Stage"/>
        <w:keepNext/>
      </w:pPr>
      <w:r>
        <w:rPr>
          <w:rFonts w:ascii="Times New Roman" w:hAnsi="Times New Roman"/>
          <w:b/>
          <w:color w:val="000000"/>
          <w:sz w:val="20"/>
        </w:rPr>
        <w:t>Yazma amacını ve yapısını belirleme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yazının amacı ile seçilecek paragraf veya metin yapısı arasındaki ilişkiyi açıklar. Gerektiğinde giriş-gelişme-sonuç ya da hitap-içerik-kapanış şablonu kullanır.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yazısının amacını, okuyucusunu ve kullanacağı yapıyı planlar.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Yazma planı veya taslak şema.</w:t>
      </w:r>
    </w:p>
    <w:p>
      <w:pPr>
        <w:pStyle w:val="Stage"/>
        <w:keepNext/>
      </w:pPr>
      <w:r>
        <w:rPr>
          <w:rFonts w:ascii="Times New Roman" w:hAnsi="Times New Roman"/>
          <w:b/>
          <w:color w:val="000000"/>
          <w:sz w:val="20"/>
        </w:rPr>
        <w:t>Taslak metin oluşturma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öğrencilerin görsel-metin ilişki şeması, kısa hazırlıksız konuşma notu ve seçilen oyunla ilgili düzenlenmiş paragraf. hazırlarken metne, görsele ve kendi notlarına dönmesini sağlar. Yazım ve noktalama kurallarını ürün üzerinde uygulatır.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planına uygun taslak metin, yönerge, mektup, açıklama veya sunum metni oluşturur.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Taslak ürün ve kullanılan kanıtların işaretlenmesi.</w:t>
      </w:r>
    </w:p>
    <w:p>
      <w:pPr>
        <w:pStyle w:val="Stage"/>
        <w:keepNext/>
      </w:pPr>
      <w:r>
        <w:rPr>
          <w:rFonts w:ascii="Times New Roman" w:hAnsi="Times New Roman"/>
          <w:b/>
          <w:color w:val="000000"/>
          <w:sz w:val="20"/>
        </w:rPr>
        <w:t>Akran ve öz değerlendirme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kısa bir ölçüt listesi ile metnin anlaşılır olma, kanıt kullanma, uygun söz varlığı ve yazım-noktalama boyutlarını değerlendirir.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kendi yazısında bir güçlü yön ve bir geliştirme noktası belirler; bir arkadaşına yapıcı geri bildirim verir.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Doldurulmuş öz/akran değerlendirme bölümü.</w:t>
      </w:r>
    </w:p>
    <w:p>
      <w:pPr>
        <w:pStyle w:val="Heading2"/>
      </w:pPr>
      <w:r>
        <w:rPr>
          <w:rFonts w:ascii="Times New Roman" w:hAnsi="Times New Roman"/>
          <w:b/>
          <w:color w:val="000000"/>
          <w:sz w:val="20"/>
        </w:rPr>
        <w:t>Beşinci Ders Saati</w:t>
      </w:r>
    </w:p>
    <w:p>
      <w:pPr>
        <w:pStyle w:val="Stage"/>
        <w:keepNext/>
      </w:pPr>
      <w:r>
        <w:rPr>
          <w:rFonts w:ascii="Times New Roman" w:hAnsi="Times New Roman"/>
          <w:b/>
          <w:color w:val="000000"/>
          <w:sz w:val="20"/>
        </w:rPr>
        <w:t>Uygulama görevinin açıklanması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ürünün metinle ilişkisini ve değerlendirme ölçütlerini açıklar. Gruplar için gerekli görev paylaşımını netleştirir.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görevlerini belirler ve ürün için kullanacağı metin kanıtlarını seçer.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Görev paylaşımı ve kanıt seçimi.</w:t>
      </w:r>
    </w:p>
    <w:p>
      <w:pPr>
        <w:pStyle w:val="Stage"/>
        <w:keepNext/>
      </w:pPr>
      <w:r>
        <w:rPr>
          <w:rFonts w:ascii="Times New Roman" w:hAnsi="Times New Roman"/>
          <w:b/>
          <w:color w:val="000000"/>
          <w:sz w:val="20"/>
        </w:rPr>
        <w:t>Ürün oluşturma ve geliştirme (20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grupları dolaşır; öğrencinin açıklamasını doğrudan tamamlamak yerine kanıta dönmesini sağlayan sorular yöneltir.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tamamlar, anlaşılmayan bölümleri düzenler ve gerekirse sözlük veya metne yeniden başvurur.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Görsel-metin ilişki şeması, kısa hazırlıksız konuşma notu ve seçilen oyunla ilgili düzenlenmiş paragraf.</w:t>
      </w:r>
    </w:p>
    <w:p>
      <w:pPr>
        <w:pStyle w:val="Stage"/>
        <w:keepNext/>
      </w:pPr>
      <w:r>
        <w:rPr>
          <w:rFonts w:ascii="Times New Roman" w:hAnsi="Times New Roman"/>
          <w:b/>
          <w:color w:val="000000"/>
          <w:sz w:val="20"/>
        </w:rPr>
        <w:t>Sunum ve transfer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ürünü günlük yaşam, kültürel miras veya farklı bir iletişim durumuyla ilişkilendiren sorular sorar.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ürününü kısa biçimde sunar ve öğrendiği kavramın yeni bir durumdaki kullanımını açıklar.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Kısa sunum ve transfer sorusuna gerekçeli yanıt.</w:t>
      </w:r>
    </w:p>
    <w:p>
      <w:pPr>
        <w:pStyle w:val="Heading2"/>
      </w:pPr>
      <w:r>
        <w:rPr>
          <w:rFonts w:ascii="Times New Roman" w:hAnsi="Times New Roman"/>
          <w:b/>
          <w:color w:val="000000"/>
          <w:sz w:val="20"/>
        </w:rPr>
        <w:t>Altıncı Ders Saati</w:t>
      </w:r>
    </w:p>
    <w:p>
      <w:pPr>
        <w:pStyle w:val="Stage"/>
        <w:keepNext/>
      </w:pPr>
      <w:r>
        <w:rPr>
          <w:rFonts w:ascii="Times New Roman" w:hAnsi="Times New Roman"/>
          <w:b/>
          <w:color w:val="000000"/>
          <w:sz w:val="20"/>
        </w:rPr>
        <w:t>Bireysel pekiştirme (12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bu haftanın öğrenme odağına uygun kısa cevaplı, eşleştirmeli veya şema tamamlama çalışması verir.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çalışmayı bireysel olarak tamamlar ve bir yanıtının gerekçesini yazar.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Bireysel çalışma kâğıdı.</w:t>
      </w:r>
    </w:p>
    <w:p>
      <w:pPr>
        <w:pStyle w:val="Stage"/>
        <w:keepNext/>
      </w:pPr>
      <w:r>
        <w:rPr>
          <w:rFonts w:ascii="Times New Roman" w:hAnsi="Times New Roman"/>
          <w:b/>
          <w:color w:val="000000"/>
          <w:sz w:val="20"/>
        </w:rPr>
        <w:t>Farklılaştırılmış çalışma (18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desteğe ihtiyaç duyan öğrenciler için akıcı okumada zorlanan öğrencilere kısa bölümleme, eşli okuma ve metinde işaretleme; yazmada zorlananlara giriş-gelişme-sonuç iskeleti verilir. Hızlı ilerleyen öğrenciler için ise öğrenciler metindeki oyunu başka bir ortamda sürdürülebilir hâle getirecek yeni bir kural tasarlayıp gerekçesini yazar.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ihtiyacına uygun görevi seçer; gerektiğinde akranından veya öğretmenden geri bildirim alır.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Tamamlanmış destekleme veya zenginleştirme görevi.</w:t>
      </w:r>
    </w:p>
    <w:p>
      <w:pPr>
        <w:pStyle w:val="Stage"/>
        <w:keepNext/>
      </w:pPr>
      <w:r>
        <w:rPr>
          <w:rFonts w:ascii="Times New Roman" w:hAnsi="Times New Roman"/>
          <w:b/>
          <w:color w:val="000000"/>
          <w:sz w:val="20"/>
        </w:rPr>
        <w:t>Çıkış bileti ve kapanış (10 dakika)</w:t>
      </w:r>
    </w:p>
    <w:p>
      <w:pPr>
        <w:spacing w:after="30" w:line="259"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öğrencilerden bu haftaki en önemli öğrenmesini, bunu gösteren kanıtı ve gelecek derste merak ettiği soruyu yazmalarını ister.</w:t>
      </w:r>
    </w:p>
    <w:p>
      <w:pPr>
        <w:spacing w:after="30" w:line="259"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üç cümlelik çıkış biletini tamamlar ve kendi öğrenmesini değerlendirir.</w:t>
      </w:r>
    </w:p>
    <w:p>
      <w:pPr>
        <w:spacing w:after="80" w:line="259"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Çıkış bileti ve öğretmenin sonraki haftaya ilişkin notu.</w:t>
      </w:r>
    </w:p>
    <w:p>
      <w:pPr>
        <w:pStyle w:val="Heading1"/>
      </w:pPr>
      <w:r>
        <w:rPr>
          <w:rFonts w:ascii="Times New Roman" w:hAnsi="Times New Roman"/>
          <w:b/>
          <w:color w:val="000000"/>
          <w:sz w:val="22"/>
        </w:rPr>
        <w:t>Farklılaştırma</w:t>
      </w:r>
    </w:p>
    <w:p>
      <w:pPr>
        <w:spacing w:after="80" w:line="259" w:lineRule="auto"/>
        <w:ind w:firstLine="255"/>
      </w:pPr>
      <w:r>
        <w:rPr>
          <w:rFonts w:ascii="Times New Roman" w:hAnsi="Times New Roman"/>
          <w:b/>
          <w:color w:val="000000"/>
          <w:sz w:val="20"/>
        </w:rPr>
        <w:t xml:space="preserve">Destekleme: </w:t>
      </w:r>
      <w:r>
        <w:rPr>
          <w:rFonts w:ascii="Times New Roman" w:hAnsi="Times New Roman"/>
          <w:b w:val="0"/>
          <w:color w:val="000000"/>
          <w:sz w:val="20"/>
        </w:rPr>
        <w:t>Akıcı okumada zorlanan öğrencilere kısa bölümleme, eşli okuma ve metinde işaretleme; yazmada zorlananlara giriş-gelişme-sonuç iskeleti verilir.</w:t>
      </w:r>
    </w:p>
    <w:p>
      <w:pPr>
        <w:spacing w:after="80" w:line="259"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Öğrenciler metindeki oyunu başka bir ortamda sürdürülebilir hâle getirecek yeni bir kural tasarlayıp gerekçesini yazar.</w:t>
      </w:r>
    </w:p>
    <w:p>
      <w:pPr>
        <w:pStyle w:val="Heading1"/>
      </w:pPr>
      <w:r>
        <w:rPr>
          <w:rFonts w:ascii="Times New Roman" w:hAnsi="Times New Roman"/>
          <w:b/>
          <w:color w:val="000000"/>
          <w:sz w:val="22"/>
        </w:rPr>
        <w:t>Ölçme ve Değerlendirme</w:t>
      </w:r>
    </w:p>
    <w:p>
      <w:pPr>
        <w:spacing w:after="80" w:line="259"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çalışma kâğıdı, öğrenci ürünü, akran ve öz değerlendirme ile çıkış bileti birlikte kullanılır. Öğrencinin yalnızca sonucu değil, metin kanıtı kullanma, gerekçelendirme ve geri bildirimden yararlanma biçimi de izlenir.</w:t>
      </w:r>
    </w:p>
    <w:tbl>
      <w:tblPr>
        <w:tblW w:type="auto" w:w="0"/>
        <w:jc w:val="center"/>
        <w:tblLayout w:type="fixed"/>
        <w:tblLook w:firstColumn="1" w:firstRow="1" w:lastColumn="0" w:lastRow="0" w:noHBand="0" w:noVBand="1" w:val="04A0"/>
      </w:tblPr>
      <w:tblGrid>
        <w:gridCol w:w="3307"/>
        <w:gridCol w:w="3307"/>
        <w:gridCol w:w="3307"/>
      </w:tblGrid>
      <w:tr>
        <w:tc>
          <w:tcPr>
            <w:tcW w:type="dxa" w:w="6236"/>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Gözlenecek Öğrenme Kanıtı</w:t>
            </w:r>
          </w:p>
        </w:tc>
        <w:tc>
          <w:tcPr>
            <w:tcW w:type="dxa" w:w="1644"/>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Gözlendi</w:t>
            </w:r>
          </w:p>
        </w:tc>
        <w:tc>
          <w:tcPr>
            <w:tcW w:type="dxa" w:w="1701"/>
            <w:vAlign w:val="center"/>
            <w:tcBorders>
              <w:top w:val="single" w:sz="6" w:color="B9C4CC"/>
              <w:left w:val="single" w:sz="6" w:color="B9C4CC"/>
              <w:bottom w:val="single" w:sz="6" w:color="B9C4CC"/>
              <w:right w:val="single" w:sz="6" w:color="B9C4CC"/>
            </w:tcBorders>
            <w:shd w:fill="D8E6EE" w:val="clear"/>
          </w:tcPr>
          <w:p>
            <w:pPr>
              <w:spacing w:before="0" w:after="0" w:line="240" w:lineRule="auto"/>
              <w:jc w:val="center"/>
            </w:pPr>
            <w:r>
              <w:rPr>
                <w:rFonts w:ascii="Times New Roman" w:hAnsi="Times New Roman"/>
                <w:b/>
                <w:color w:val="000000"/>
                <w:sz w:val="18"/>
              </w:rPr>
              <w:t>Desteğe İhtiyaç Var</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Metindeki bilgi, görsel veya bölümden hareketle görüşünü kanıtla açıklar.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Bağlamdan tahmin ettiği söz varlığı unsurunu uygun kaynakla kontrol eder.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Konuşma veya yazma ürününde amacına uygun yapı ve bağlantı ifadeleri kullanır.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r>
        <w:tc>
          <w:tcPr>
            <w:tcW w:type="dxa" w:w="6236"/>
            <w:vAlign w:val="center"/>
            <w:tcBorders>
              <w:top w:val="single" w:sz="6" w:color="B9C4CC"/>
              <w:left w:val="single" w:sz="6" w:color="B9C4CC"/>
              <w:bottom w:val="single" w:sz="6" w:color="B9C4CC"/>
              <w:right w:val="single" w:sz="6" w:color="B9C4CC"/>
            </w:tcBorders>
          </w:tcPr>
          <w:p>
            <w:pPr>
              <w:spacing w:before="0" w:after="0" w:line="240" w:lineRule="auto"/>
              <w:jc w:val="left"/>
            </w:pPr>
            <w:r>
              <w:rPr>
                <w:rFonts w:ascii="Times New Roman" w:hAnsi="Times New Roman"/>
                <w:b w:val="0"/>
                <w:color w:val="000000"/>
                <w:sz w:val="17"/>
              </w:rPr>
              <w:t>Geri bildirimden yararlanarak ürününde en az bir iyileştirme yapar.</w:t>
            </w:r>
          </w:p>
        </w:tc>
        <w:tc>
          <w:tcPr>
            <w:tcW w:type="dxa" w:w="1644"/>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c>
          <w:tcPr>
            <w:tcW w:type="dxa" w:w="1701"/>
            <w:vAlign w:val="center"/>
            <w:tcBorders>
              <w:top w:val="single" w:sz="6" w:color="B9C4CC"/>
              <w:left w:val="single" w:sz="6" w:color="B9C4CC"/>
              <w:bottom w:val="single" w:sz="6" w:color="B9C4CC"/>
              <w:right w:val="single" w:sz="6" w:color="B9C4CC"/>
            </w:tcBorders>
          </w:tcPr>
          <w:p>
            <w:pPr>
              <w:spacing w:before="0" w:after="0" w:line="240" w:lineRule="auto"/>
              <w:jc w:val="center"/>
            </w:pPr>
            <w:r>
              <w:rPr>
                <w:rFonts w:ascii="Times New Roman" w:hAnsi="Times New Roman"/>
                <w:b w:val="0"/>
                <w:color w:val="000000"/>
                <w:sz w:val="22"/>
              </w:rPr>
              <w:t>□</w:t>
            </w:r>
          </w:p>
        </w:tc>
      </w:tr>
    </w:tbl>
    <w:p>
      <w:pPr>
        <w:pStyle w:val="Heading1"/>
      </w:pPr>
      <w:r>
        <w:rPr>
          <w:rFonts w:ascii="Times New Roman" w:hAnsi="Times New Roman"/>
          <w:b/>
          <w:color w:val="000000"/>
          <w:sz w:val="22"/>
        </w:rPr>
        <w:t>Sınıf Defterine Yazılacak İfade</w:t>
      </w:r>
    </w:p>
    <w:p>
      <w:pPr>
        <w:spacing w:after="80" w:line="259"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Oyun Durdu! metni üzerinden akıcı okuma, görsel-metin ilişkisi, hazırlıksız konuşma ve yazılı anlatım çalışmaları gerçekleştirildi.</w:t>
      </w:r>
    </w:p>
    <w:p>
      <w:pPr>
        <w:pStyle w:val="Heading1"/>
      </w:pPr>
      <w:r>
        <w:rPr>
          <w:rFonts w:ascii="Times New Roman" w:hAnsi="Times New Roman"/>
          <w:b/>
          <w:color w:val="000000"/>
          <w:sz w:val="22"/>
        </w:rPr>
        <w:t>Öğretmen Yansıtması ve Sonraki Haftaya Hazırlık</w:t>
      </w:r>
    </w:p>
    <w:p>
      <w:pPr>
        <w:spacing w:after="120"/>
        <w:ind w:firstLine="0"/>
        <w:jc w:val="left"/>
      </w:pPr>
      <w:r>
        <w:rPr>
          <w:rFonts w:ascii="Times New Roman" w:hAnsi="Times New Roman"/>
          <w:b w:val="0"/>
          <w:color w:val="000000"/>
          <w:sz w:val="19"/>
        </w:rPr>
        <w:t>Öğrencilerin en çok zorlandığı kavram, beceri veya metin bölümü: ............................................................................................................................</w:t>
      </w:r>
    </w:p>
    <w:p>
      <w:pPr>
        <w:spacing w:after="120"/>
        <w:ind w:firstLine="0"/>
        <w:jc w:val="left"/>
      </w:pPr>
      <w:r>
        <w:rPr>
          <w:rFonts w:ascii="Times New Roman" w:hAnsi="Times New Roman"/>
          <w:b w:val="0"/>
          <w:color w:val="000000"/>
          <w:sz w:val="19"/>
        </w:rPr>
        <w:t>Bir sonraki uygulamada korunacak veya değiştirilecek öğretim adımı: ........................................................................................................................</w:t>
      </w:r>
    </w:p>
    <w:p>
      <w:pPr>
        <w:spacing w:after="120"/>
        <w:ind w:firstLine="0"/>
        <w:jc w:val="left"/>
      </w:pPr>
      <w:r>
        <w:rPr>
          <w:rFonts w:ascii="Times New Roman" w:hAnsi="Times New Roman"/>
          <w:b w:val="0"/>
          <w:color w:val="000000"/>
          <w:sz w:val="19"/>
        </w:rPr>
        <w:t>Destekleme ya da zenginleştirme ihtiyacı görülen öğrenci grubu / çalışma: ..............................................................................................................</w:t>
      </w:r>
    </w:p>
    <w:p>
      <w:pPr>
        <w:pStyle w:val="Heading1"/>
      </w:pPr>
      <w:r>
        <w:rPr>
          <w:rFonts w:ascii="Times New Roman" w:hAnsi="Times New Roman"/>
          <w:b/>
          <w:color w:val="000000"/>
          <w:sz w:val="22"/>
        </w:rPr>
        <w:t>İmza</w:t>
      </w:r>
    </w:p>
    <w:p>
      <w:pPr>
        <w:spacing w:before="140" w:after="0"/>
        <w:jc w:val="center"/>
      </w:pPr>
      <w:r>
        <w:rPr>
          <w:rFonts w:ascii="Times New Roman" w:hAnsi="Times New Roman"/>
          <w:b w:val="0"/>
          <w:color w:val="000000"/>
          <w:sz w:val="20"/>
        </w:rPr>
        <w:t>21 Eylül 2026</w:t>
      </w:r>
    </w:p>
    <w:p>
      <w:pPr>
        <w:spacing w:before="0" w:after="0"/>
        <w:jc w:val="center"/>
      </w:pPr>
      <w:r>
        <w:rPr>
          <w:rFonts w:ascii="Times New Roman" w:hAnsi="Times New Roman"/>
          <w:b/>
          <w:color w:val="000000"/>
          <w:sz w:val="20"/>
        </w:rPr>
        <w:t>Ders Öğretmeni</w:t>
      </w:r>
    </w:p>
    <w:p>
      <w:pPr>
        <w:spacing w:before="0" w:after="0"/>
        <w:jc w:val="center"/>
      </w:pPr>
      <w:r>
        <w:rPr>
          <w:rFonts w:ascii="Times New Roman" w:hAnsi="Times New Roman"/>
          <w:b w:val="0"/>
          <w:color w:val="000000"/>
          <w:sz w:val="20"/>
        </w:rPr>
        <w:t>........................................................</w:t>
      </w:r>
    </w:p>
    <w:p>
      <w:pPr>
        <w:spacing w:before="0" w:after="0"/>
        <w:jc w:val="center"/>
      </w:pPr>
      <w:r>
        <w:rPr>
          <w:rFonts w:ascii="Times New Roman" w:hAnsi="Times New Roman"/>
          <w:b w:val="0"/>
          <w:color w:val="000000"/>
          <w:sz w:val="20"/>
        </w:rPr>
        <w:t>İmza</w:t>
      </w:r>
    </w:p>
    <w:sectPr w:rsidR="00FC693F" w:rsidRPr="0006063C" w:rsidSect="00034616">
      <w:pgSz w:w="11906" w:h="16838"/>
      <w:pgMar w:top="879" w:right="992" w:bottom="879" w:left="9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ind w:firstLine="255"/>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line="259"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80" w:line="259"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59" w:lineRule="auto"/>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ge">
    <w:name w:val="Stage"/>
    <w:basedOn w:val="Normal"/>
    <w:pPr>
      <w:spacing w:before="100" w:after="20"/>
      <w:ind w:firstLine="0"/>
    </w:pPr>
    <w:rPr>
      <w:rFonts w:ascii="Times New Roman" w:hAnsi="Times New Roman"/>
      <w:b/>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5. Sınıf Türkçe 2. Hafta Günlük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