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0"/>
        <w:jc w:val="center"/>
      </w:pPr>
      <w:r>
        <w:rPr>
          <w:rFonts w:ascii="Times New Roman" w:hAnsi="Times New Roman" w:cs="Times New Roman"/>
          <w:b/>
          <w:i w:val="0"/>
          <w:color w:val="000000"/>
          <w:sz w:val="22"/>
        </w:rPr>
        <w:t>2026-2027 EĞİTİM ÖĞRETİM YILI</w:t>
      </w:r>
    </w:p>
    <w:p>
      <w:pPr>
        <w:pStyle w:val="Title"/>
        <w:spacing w:before="0" w:after="0"/>
        <w:jc w:val="center"/>
      </w:pPr>
      <w:r>
        <w:rPr>
          <w:rFonts w:ascii="Times New Roman" w:hAnsi="Times New Roman" w:cs="Times New Roman"/>
          <w:b/>
          <w:i w:val="0"/>
          <w:color w:val="000000"/>
          <w:sz w:val="22"/>
        </w:rPr>
        <w:t>6. SINIF/ŞUBE ÖĞRETMENLER KURULU</w:t>
      </w:r>
    </w:p>
    <w:p>
      <w:pPr>
        <w:pStyle w:val="Title"/>
        <w:spacing w:before="0" w:after="160"/>
        <w:jc w:val="center"/>
      </w:pPr>
      <w:r>
        <w:rPr>
          <w:rFonts w:ascii="Times New Roman" w:hAnsi="Times New Roman" w:cs="Times New Roman"/>
          <w:b/>
          <w:i w:val="0"/>
          <w:color w:val="000000"/>
          <w:sz w:val="24"/>
        </w:rPr>
        <w:t>ŞUBAT AYI TOPLANTI TUTANAĞI</w:t>
      </w:r>
    </w:p>
    <w:tbl>
      <w:tblPr>
        <w:tblW w:type="auto" w:w="0"/>
        <w:jc w:val="center"/>
        <w:tblLayout w:type="fixed"/>
        <w:tblLook w:firstColumn="1" w:firstRow="1" w:lastColumn="0" w:lastRow="0" w:noHBand="0" w:noVBand="1" w:val="04A0"/>
      </w:tblPr>
      <w:tblGrid>
        <w:gridCol w:w="4677"/>
        <w:gridCol w:w="4677"/>
      </w:tblGrid>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Okul/Kurumun Adı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Sınıfı / Şubesi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6. Sınıf / ......................</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Tarihi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 Şubat 2026 / 2027</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Saati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Yeri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Kurul Başkanı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Yazman</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bl>
    <w:p>
      <w:pPr>
        <w:spacing w:after="0"/>
      </w:pPr>
    </w:p>
    <w:p>
      <w:pPr>
        <w:keepNext/>
        <w:spacing w:before="140" w:after="60"/>
        <w:jc w:val="left"/>
      </w:pPr>
      <w:r>
        <w:rPr>
          <w:rFonts w:ascii="Times New Roman" w:hAnsi="Times New Roman" w:cs="Times New Roman"/>
          <w:b/>
          <w:i w:val="0"/>
          <w:color w:val="000000"/>
          <w:sz w:val="22"/>
        </w:rPr>
        <w:t>KATILIMCILAR</w:t>
      </w:r>
    </w:p>
    <w:tbl>
      <w:tblPr>
        <w:tblW w:type="auto" w:w="0"/>
        <w:jc w:val="center"/>
        <w:tblLayout w:type="fixed"/>
        <w:tblLook w:firstColumn="1" w:firstRow="1" w:lastColumn="0" w:lastRow="0" w:noHBand="0" w:noVBand="1" w:val="04A0"/>
      </w:tblPr>
      <w:tblGrid>
        <w:gridCol w:w="3118"/>
        <w:gridCol w:w="3118"/>
        <w:gridCol w:w="3118"/>
      </w:tblGrid>
      <w:tr>
        <w:trPr>
          <w:tblHeader w:val="true"/>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Sıra No</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Adı Soyadı ve Branşı</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İmza</w:t>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1</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2</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3</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4</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bl>
    <w:p>
      <w:pPr>
        <w:spacing w:after="0"/>
      </w:pPr>
    </w:p>
    <w:p>
      <w:pPr>
        <w:keepNext/>
        <w:spacing w:before="140" w:after="60"/>
        <w:jc w:val="left"/>
      </w:pPr>
      <w:r>
        <w:rPr>
          <w:rFonts w:ascii="Times New Roman" w:hAnsi="Times New Roman" w:cs="Times New Roman"/>
          <w:b/>
          <w:i w:val="0"/>
          <w:color w:val="000000"/>
          <w:sz w:val="22"/>
        </w:rPr>
        <w:t>TOPLANTININ AÇILIŞI</w:t>
      </w:r>
    </w:p>
    <w:p>
      <w:pPr>
        <w:spacing w:before="0" w:after="80" w:line="259" w:lineRule="auto"/>
        <w:ind w:firstLine="425"/>
        <w:jc w:val="both"/>
      </w:pPr>
      <w:r>
        <w:rPr>
          <w:rFonts w:ascii="Times New Roman" w:hAnsi="Times New Roman" w:cs="Times New Roman"/>
          <w:b w:val="0"/>
          <w:i w:val="0"/>
          <w:color w:val="000000"/>
          <w:sz w:val="20"/>
        </w:rPr>
        <w:t>Millî Eğitim Bakanlığı Eğitim Kurulları ve Zümreleri Yönergesinin 10 uncu maddesi doğrultusunda, aynı sınıf seviyesinde veya aynı şubede ders okutan öğretmenler ile rehberlik öğretmenlerinin katılımıyla kurul toplanmıştır. Toplantıda öğrenme sürekliliği, öz düzenleme, temel becerilerin güçlendirilmesi ve dijital sorumluluk esas alınarak şubenin eğitim öğretim süreci değerlendirilmiştir.</w:t>
      </w:r>
    </w:p>
    <w:p>
      <w:pPr>
        <w:keepNext/>
        <w:spacing w:before="140" w:after="60"/>
        <w:jc w:val="left"/>
      </w:pPr>
      <w:r>
        <w:rPr>
          <w:rFonts w:ascii="Times New Roman" w:hAnsi="Times New Roman" w:cs="Times New Roman"/>
          <w:b/>
          <w:i w:val="0"/>
          <w:color w:val="000000"/>
          <w:sz w:val="22"/>
        </w:rPr>
        <w:t>GÜNDEM MADDELERI</w:t>
      </w:r>
    </w:p>
    <w:p>
      <w:pPr>
        <w:spacing w:after="44" w:line="240" w:lineRule="auto"/>
        <w:ind w:left="369" w:hanging="369"/>
        <w:jc w:val="both"/>
      </w:pPr>
      <w:r>
        <w:rPr>
          <w:rFonts w:ascii="Times New Roman" w:hAnsi="Times New Roman" w:cs="Times New Roman"/>
          <w:b w:val="0"/>
          <w:i w:val="0"/>
          <w:color w:val="000000"/>
          <w:sz w:val="19"/>
        </w:rPr>
        <w:t>1. Açılışın yapılması, yoklamanın alınması ve gündemin kabul edilmesi.</w:t>
      </w:r>
    </w:p>
    <w:p>
      <w:pPr>
        <w:spacing w:after="44" w:line="240" w:lineRule="auto"/>
        <w:ind w:left="369" w:hanging="369"/>
        <w:jc w:val="both"/>
      </w:pPr>
      <w:r>
        <w:rPr>
          <w:rFonts w:ascii="Times New Roman" w:hAnsi="Times New Roman" w:cs="Times New Roman"/>
          <w:b w:val="0"/>
          <w:i w:val="0"/>
          <w:color w:val="000000"/>
          <w:sz w:val="19"/>
        </w:rPr>
        <w:t>2. Bir önceki sınıf/şube öğretmenler kurulu kararlarının uygulama sonuçlarının değerlendirilmesi.</w:t>
      </w:r>
    </w:p>
    <w:p>
      <w:pPr>
        <w:spacing w:after="44" w:line="240" w:lineRule="auto"/>
        <w:ind w:left="369" w:hanging="369"/>
        <w:jc w:val="both"/>
      </w:pPr>
      <w:r>
        <w:rPr>
          <w:rFonts w:ascii="Times New Roman" w:hAnsi="Times New Roman" w:cs="Times New Roman"/>
          <w:b w:val="0"/>
          <w:i w:val="0"/>
          <w:color w:val="000000"/>
          <w:sz w:val="19"/>
        </w:rPr>
        <w:t>3. Öğrencilerin akademik başarı durumlarının ve öğrenme gereksinimlerinin değerlendirilmesi.</w:t>
      </w:r>
    </w:p>
    <w:p>
      <w:pPr>
        <w:spacing w:after="44" w:line="240" w:lineRule="auto"/>
        <w:ind w:left="369" w:hanging="369"/>
        <w:jc w:val="both"/>
      </w:pPr>
      <w:r>
        <w:rPr>
          <w:rFonts w:ascii="Times New Roman" w:hAnsi="Times New Roman" w:cs="Times New Roman"/>
          <w:b w:val="0"/>
          <w:i w:val="0"/>
          <w:color w:val="000000"/>
          <w:sz w:val="19"/>
        </w:rPr>
        <w:t>4. Derslerin öğretim programlarıyla uyumlu yürütülmesinin ve ölçme değerlendirme süreçlerinin görüşülmesi.</w:t>
      </w:r>
    </w:p>
    <w:p>
      <w:pPr>
        <w:spacing w:after="44" w:line="240" w:lineRule="auto"/>
        <w:ind w:left="369" w:hanging="369"/>
        <w:jc w:val="both"/>
      </w:pPr>
      <w:r>
        <w:rPr>
          <w:rFonts w:ascii="Times New Roman" w:hAnsi="Times New Roman" w:cs="Times New Roman"/>
          <w:b w:val="0"/>
          <w:i w:val="0"/>
          <w:color w:val="000000"/>
          <w:sz w:val="19"/>
        </w:rPr>
        <w:t>5. öğrencilerin öz düzenleme becerilerinin, ders çalışma sorumluluklarının ve güvenli dijital araç kullanma alışkanlıklarının geliştirilmesi çalışmalarının görüşülmesi.</w:t>
      </w:r>
    </w:p>
    <w:p>
      <w:pPr>
        <w:spacing w:after="44" w:line="240" w:lineRule="auto"/>
        <w:ind w:left="369" w:hanging="369"/>
        <w:jc w:val="both"/>
      </w:pPr>
      <w:r>
        <w:rPr>
          <w:rFonts w:ascii="Times New Roman" w:hAnsi="Times New Roman" w:cs="Times New Roman"/>
          <w:b w:val="0"/>
          <w:i w:val="0"/>
          <w:color w:val="000000"/>
          <w:sz w:val="19"/>
        </w:rPr>
        <w:t>6. Devam, devamsızlık, sınıf iklimi, öğrencilerin sosyal gelişimi ve rehberlik ihtiyaçlarının değerlendirilmesi.</w:t>
      </w:r>
    </w:p>
    <w:p>
      <w:pPr>
        <w:spacing w:after="44" w:line="240" w:lineRule="auto"/>
        <w:ind w:left="369" w:hanging="369"/>
        <w:jc w:val="both"/>
      </w:pPr>
      <w:r>
        <w:rPr>
          <w:rFonts w:ascii="Times New Roman" w:hAnsi="Times New Roman" w:cs="Times New Roman"/>
          <w:b w:val="0"/>
          <w:i w:val="0"/>
          <w:color w:val="000000"/>
          <w:sz w:val="19"/>
        </w:rPr>
        <w:t>7. Kaynaştırma/bütünleştirme yoluyla eğitimine devam eden öğrenciler için alınacak tedbirlerin ve iş birliği çalışmalarının görüşülmesi.</w:t>
      </w:r>
    </w:p>
    <w:p>
      <w:pPr>
        <w:spacing w:after="44" w:line="240" w:lineRule="auto"/>
        <w:ind w:left="369" w:hanging="369"/>
        <w:jc w:val="both"/>
      </w:pPr>
      <w:r>
        <w:rPr>
          <w:rFonts w:ascii="Times New Roman" w:hAnsi="Times New Roman" w:cs="Times New Roman"/>
          <w:b w:val="0"/>
          <w:i w:val="0"/>
          <w:color w:val="000000"/>
          <w:sz w:val="19"/>
        </w:rPr>
        <w:t>8. Veli-okul iş birliğinin, sosyal sorumluluk, kültürel, sanatsal, bilimsel ve sportif etkinliklerin değerlendirilmesi.</w:t>
      </w:r>
    </w:p>
    <w:p>
      <w:pPr>
        <w:spacing w:after="44" w:line="240" w:lineRule="auto"/>
        <w:ind w:left="369" w:hanging="369"/>
        <w:jc w:val="both"/>
      </w:pPr>
      <w:r>
        <w:rPr>
          <w:rFonts w:ascii="Times New Roman" w:hAnsi="Times New Roman" w:cs="Times New Roman"/>
          <w:b w:val="0"/>
          <w:i w:val="0"/>
          <w:color w:val="000000"/>
          <w:sz w:val="19"/>
        </w:rPr>
        <w:t>9. Eğitim kaynakları, bilişim araçları, laboratuvar/atölye ve diğer birimlerden güvenli yararlanma esaslarının görüşülmesi.</w:t>
      </w:r>
    </w:p>
    <w:p>
      <w:pPr>
        <w:spacing w:after="44" w:line="240" w:lineRule="auto"/>
        <w:ind w:left="369" w:hanging="369"/>
        <w:jc w:val="both"/>
      </w:pPr>
      <w:r>
        <w:rPr>
          <w:rFonts w:ascii="Times New Roman" w:hAnsi="Times New Roman" w:cs="Times New Roman"/>
          <w:b w:val="0"/>
          <w:i w:val="0"/>
          <w:color w:val="000000"/>
          <w:sz w:val="19"/>
        </w:rPr>
        <w:t>10. Öz Düzenleme ve Dijital Sorumluluk kapsamında sınıfa özgü çalışmaların belirlenmesi.</w:t>
      </w:r>
    </w:p>
    <w:p>
      <w:pPr>
        <w:spacing w:after="44" w:line="240" w:lineRule="auto"/>
        <w:ind w:left="369" w:hanging="369"/>
        <w:jc w:val="both"/>
      </w:pPr>
      <w:r>
        <w:rPr>
          <w:rFonts w:ascii="Times New Roman" w:hAnsi="Times New Roman" w:cs="Times New Roman"/>
          <w:b w:val="0"/>
          <w:i w:val="0"/>
          <w:color w:val="000000"/>
          <w:sz w:val="19"/>
        </w:rPr>
        <w:t>11. Alınan kararların uygulanması, sorumluların ve izleme zamanlarının belirlenmesi.</w:t>
      </w:r>
    </w:p>
    <w:p>
      <w:pPr>
        <w:spacing w:after="44" w:line="240" w:lineRule="auto"/>
        <w:ind w:left="369" w:hanging="369"/>
        <w:jc w:val="both"/>
      </w:pPr>
      <w:r>
        <w:rPr>
          <w:rFonts w:ascii="Times New Roman" w:hAnsi="Times New Roman" w:cs="Times New Roman"/>
          <w:b w:val="0"/>
          <w:i w:val="0"/>
          <w:color w:val="000000"/>
          <w:sz w:val="19"/>
        </w:rPr>
        <w:t>12. İkinci dönem içinde yürütülecek izleme çalışmalarının ve sorumlulukların belirlenmesi.</w:t>
      </w:r>
    </w:p>
    <w:p>
      <w:pPr>
        <w:spacing w:after="44" w:line="240" w:lineRule="auto"/>
        <w:ind w:left="369" w:hanging="369"/>
        <w:jc w:val="both"/>
      </w:pPr>
      <w:r>
        <w:rPr>
          <w:rFonts w:ascii="Times New Roman" w:hAnsi="Times New Roman" w:cs="Times New Roman"/>
          <w:b w:val="0"/>
          <w:i w:val="0"/>
          <w:color w:val="000000"/>
          <w:sz w:val="19"/>
        </w:rPr>
        <w:t>13. Dilek, temenniler ve kapanışın yapılması.</w:t>
      </w:r>
    </w:p>
    <w:p>
      <w:r>
        <w:br w:type="page"/>
      </w:r>
    </w:p>
    <w:p>
      <w:pPr>
        <w:keepNext/>
        <w:spacing w:before="140" w:after="60"/>
        <w:jc w:val="left"/>
      </w:pPr>
      <w:r>
        <w:rPr>
          <w:rFonts w:ascii="Times New Roman" w:hAnsi="Times New Roman" w:cs="Times New Roman"/>
          <w:b/>
          <w:i w:val="0"/>
          <w:color w:val="000000"/>
          <w:sz w:val="22"/>
        </w:rPr>
        <w:t>GÖRÜŞMELER VE ALINAN KARARLAR</w:t>
      </w:r>
    </w:p>
    <w:p>
      <w:pPr>
        <w:keepNext/>
        <w:spacing w:before="140" w:after="60"/>
        <w:jc w:val="left"/>
      </w:pPr>
      <w:r>
        <w:rPr>
          <w:rFonts w:ascii="Times New Roman" w:hAnsi="Times New Roman" w:cs="Times New Roman"/>
          <w:b/>
          <w:i w:val="0"/>
          <w:color w:val="000000"/>
          <w:sz w:val="22"/>
        </w:rPr>
        <w:t>1. AÇILIŞ, YOKLAMA VE GÜNDEMIN KABULÜ</w:t>
      </w:r>
    </w:p>
    <w:p>
      <w:pPr>
        <w:spacing w:before="0" w:after="100" w:line="271" w:lineRule="auto"/>
        <w:ind w:firstLine="425"/>
        <w:jc w:val="both"/>
      </w:pPr>
      <w:r>
        <w:rPr>
          <w:rFonts w:ascii="Times New Roman" w:hAnsi="Times New Roman" w:cs="Times New Roman"/>
          <w:b w:val="0"/>
          <w:i w:val="0"/>
          <w:color w:val="000000"/>
          <w:sz w:val="21"/>
        </w:rPr>
        <w:t>Kurul, Millî Eğitim Bakanlığı Eğitim Kurulları ve Zümreleri Yönergesinin 10 uncu maddesi çerçevesinde toplanmış; şubat ayı içinde yapılan toplantıda birinci dönem uygulamaları, öğrenme kanıtları ve ikinci döneme ilişkin destek ihtiyaçları değerlendirilmiştir. Gündem maddeleri okunarak üyelerin görüşleri alınmış ve toplantı gündeminin bu hâliyle kabul edilmesine karar verildi.</w:t>
      </w:r>
    </w:p>
    <w:p>
      <w:pPr>
        <w:keepNext/>
        <w:spacing w:before="140" w:after="60"/>
        <w:jc w:val="left"/>
      </w:pPr>
      <w:r>
        <w:rPr>
          <w:rFonts w:ascii="Times New Roman" w:hAnsi="Times New Roman" w:cs="Times New Roman"/>
          <w:b/>
          <w:i w:val="0"/>
          <w:color w:val="000000"/>
          <w:sz w:val="22"/>
        </w:rPr>
        <w:t>2. ÖNCEKI KARARLARIN DEĞERLENDIRILMESI</w:t>
      </w:r>
    </w:p>
    <w:p>
      <w:pPr>
        <w:spacing w:before="0" w:after="100" w:line="271" w:lineRule="auto"/>
        <w:ind w:firstLine="425"/>
        <w:jc w:val="both"/>
      </w:pPr>
      <w:r>
        <w:rPr>
          <w:rFonts w:ascii="Times New Roman" w:hAnsi="Times New Roman" w:cs="Times New Roman"/>
          <w:b w:val="0"/>
          <w:i w:val="0"/>
          <w:color w:val="000000"/>
          <w:sz w:val="21"/>
        </w:rPr>
        <w:t>Birinci dönem sonunda elde edilen izleme bulguları değerlendirilmiş; gerçekleşen çalışmaların sürdürülmesine, uygulamada güçlük yaşanan hususların ilgili ders öğretmenleri, şube rehber öğretmeni, rehberlik servisi ve okul yönetimi arasında iş birliğiyle yeniden planlanmasına karar verildi.</w:t>
      </w:r>
    </w:p>
    <w:p>
      <w:pPr>
        <w:keepNext/>
        <w:spacing w:before="140" w:after="60"/>
        <w:jc w:val="left"/>
      </w:pPr>
      <w:r>
        <w:rPr>
          <w:rFonts w:ascii="Times New Roman" w:hAnsi="Times New Roman" w:cs="Times New Roman"/>
          <w:b/>
          <w:i w:val="0"/>
          <w:color w:val="000000"/>
          <w:sz w:val="22"/>
        </w:rPr>
        <w:t>3. AKADEMIK BAŞARI VE ÖĞRENME GEREKSINIMLERI</w:t>
      </w:r>
    </w:p>
    <w:p>
      <w:pPr>
        <w:spacing w:before="0" w:after="100" w:line="271" w:lineRule="auto"/>
        <w:ind w:firstLine="425"/>
        <w:jc w:val="both"/>
      </w:pPr>
      <w:r>
        <w:rPr>
          <w:rFonts w:ascii="Times New Roman" w:hAnsi="Times New Roman" w:cs="Times New Roman"/>
          <w:b w:val="0"/>
          <w:i w:val="0"/>
          <w:color w:val="000000"/>
          <w:sz w:val="21"/>
        </w:rPr>
        <w:t>Öğrencilerin akademik başarıları, ders içi katılımları, ödev ve proje süreçleri ile ölçme değerlendirme sonuçlarından elde edilen bulgular öğrenci isimleri belirtilmeksizin değerlendirilmiş; ihtiyaç duyulan öğrenme alanlarında farklılaştırılmış etkinliklere, tekrar çalışmalarına ve zamanında geri bildirime yer verilmesine karar verildi.</w:t>
      </w:r>
    </w:p>
    <w:p>
      <w:r>
        <w:br w:type="page"/>
      </w:r>
    </w:p>
    <w:p>
      <w:pPr>
        <w:keepNext/>
        <w:spacing w:before="140" w:after="60"/>
        <w:jc w:val="left"/>
      </w:pPr>
      <w:r>
        <w:rPr>
          <w:rFonts w:ascii="Times New Roman" w:hAnsi="Times New Roman" w:cs="Times New Roman"/>
          <w:b/>
          <w:i w:val="0"/>
          <w:color w:val="000000"/>
          <w:sz w:val="22"/>
        </w:rPr>
        <w:t>4. ÖĞRETIM PROGRAMI VE ÖLÇME DEĞERLENDIRME</w:t>
      </w:r>
    </w:p>
    <w:p>
      <w:pPr>
        <w:spacing w:before="0" w:after="100" w:line="271" w:lineRule="auto"/>
        <w:ind w:firstLine="425"/>
        <w:jc w:val="both"/>
      </w:pPr>
      <w:r>
        <w:rPr>
          <w:rFonts w:ascii="Times New Roman" w:hAnsi="Times New Roman" w:cs="Times New Roman"/>
          <w:b w:val="0"/>
          <w:i w:val="0"/>
          <w:color w:val="000000"/>
          <w:sz w:val="21"/>
        </w:rPr>
        <w:t>Derslerin öğretim programlarıyla uyumlu yürütülmesi, ölçme değerlendirme araçlarının öğrencilerin öğrenme süreçlerini görünür kılacak biçimde çeşitlendirilmesi ve sonuçların öğretim planlarını geliştirmek amacıyla kullanılması görüşülmüş; Türkiye Yüzyılı Maarif Modeli doğrultusunda öğrenme kanıtlarının, süreç odaklı geri bildirimin ve beceri temelli uygulamaların izlenmesi kararlaştırıldı.</w:t>
      </w:r>
    </w:p>
    <w:p>
      <w:pPr>
        <w:keepNext/>
        <w:spacing w:before="140" w:after="60"/>
        <w:jc w:val="left"/>
      </w:pPr>
      <w:r>
        <w:rPr>
          <w:rFonts w:ascii="Times New Roman" w:hAnsi="Times New Roman" w:cs="Times New Roman"/>
          <w:b/>
          <w:i w:val="0"/>
          <w:color w:val="000000"/>
          <w:sz w:val="22"/>
        </w:rPr>
        <w:t>5. ÖZ DÜZENLEME VE DIJITAL SORUMLULUK</w:t>
      </w:r>
    </w:p>
    <w:p>
      <w:pPr>
        <w:spacing w:before="0" w:after="100" w:line="271" w:lineRule="auto"/>
        <w:ind w:firstLine="425"/>
        <w:jc w:val="both"/>
      </w:pPr>
      <w:r>
        <w:rPr>
          <w:rFonts w:ascii="Times New Roman" w:hAnsi="Times New Roman" w:cs="Times New Roman"/>
          <w:b w:val="0"/>
          <w:i w:val="0"/>
          <w:color w:val="000000"/>
          <w:sz w:val="21"/>
        </w:rPr>
        <w:t>Öğrencilerin öz düzenleme becerilerinin, ders çalışma sorumluluklarının ve güvenli dijital araç kullanma alışkanlıklarının geliştirilmesi görüşülmüş; sınıfın özellikleri, okulun imkânları ve öğrencilerin bireysel farklılıkları dikkate alınarak uygulanabilir çalışmaların ilgili öğretmenlerce planlanmasına, gelişmelerin ikinci dönem boyunca izlenmesine ve gerektiğinde kurul gündemine yeniden alınmasına karar verildi.</w:t>
      </w:r>
    </w:p>
    <w:p>
      <w:pPr>
        <w:keepNext/>
        <w:spacing w:before="140" w:after="60"/>
        <w:jc w:val="left"/>
      </w:pPr>
      <w:r>
        <w:rPr>
          <w:rFonts w:ascii="Times New Roman" w:hAnsi="Times New Roman" w:cs="Times New Roman"/>
          <w:b/>
          <w:i w:val="0"/>
          <w:color w:val="000000"/>
          <w:sz w:val="22"/>
        </w:rPr>
        <w:t>6. DEVAM, SINIF İKLIMI VE REHBERLIK</w:t>
      </w:r>
    </w:p>
    <w:p>
      <w:pPr>
        <w:spacing w:before="0" w:after="100" w:line="271" w:lineRule="auto"/>
        <w:ind w:firstLine="425"/>
        <w:jc w:val="both"/>
      </w:pPr>
      <w:r>
        <w:rPr>
          <w:rFonts w:ascii="Times New Roman" w:hAnsi="Times New Roman" w:cs="Times New Roman"/>
          <w:b w:val="0"/>
          <w:i w:val="0"/>
          <w:color w:val="000000"/>
          <w:sz w:val="21"/>
        </w:rPr>
        <w:t>Devam-devamsızlık, derse zamanında katılım, sınıf içi iletişim, akran ilişkileri ve öğrencilerin sosyal-duygusal gelişimlerine ilişkin genel gözlemler değerlendirilmiş; risk görülen durumlarda şube rehber öğretmeni, rehberlik servisi, aile ve okul yönetimi arasında zamanında iletişim kurulmasına karar verildi.</w:t>
      </w:r>
    </w:p>
    <w:p>
      <w:r>
        <w:br w:type="page"/>
      </w:r>
    </w:p>
    <w:p>
      <w:pPr>
        <w:keepNext/>
        <w:spacing w:before="140" w:after="60"/>
        <w:jc w:val="left"/>
      </w:pPr>
      <w:r>
        <w:rPr>
          <w:rFonts w:ascii="Times New Roman" w:hAnsi="Times New Roman" w:cs="Times New Roman"/>
          <w:b/>
          <w:i w:val="0"/>
          <w:color w:val="000000"/>
          <w:sz w:val="22"/>
        </w:rPr>
        <w:t>7. KAYNAŞTIRMA/BÜTÜNLEŞTIRME YOLUYLA EĞITIM</w:t>
      </w:r>
    </w:p>
    <w:p>
      <w:pPr>
        <w:spacing w:before="0" w:after="100" w:line="271" w:lineRule="auto"/>
        <w:ind w:firstLine="425"/>
        <w:jc w:val="both"/>
      </w:pPr>
      <w:r>
        <w:rPr>
          <w:rFonts w:ascii="Times New Roman" w:hAnsi="Times New Roman" w:cs="Times New Roman"/>
          <w:b w:val="0"/>
          <w:i w:val="0"/>
          <w:color w:val="000000"/>
          <w:sz w:val="21"/>
        </w:rPr>
        <w:t>Kaynaştırma/bütünleştirme yoluyla eğitimine devam eden öğrencilerin eğitim hizmetlerinden daha etkin yararlanmaları için ders öğretmenleri, rehberlik servisi, BEP geliştirme birimi ve aile arasında iş birliği yapılması; erişilebilir materyal, uygun öğrenme ortamı ve bireyselleştirilmiş desteklerin ilgili planlar doğrultusunda yürütülmesi kararlaştırıldı.</w:t>
      </w:r>
    </w:p>
    <w:p>
      <w:pPr>
        <w:keepNext/>
        <w:spacing w:before="140" w:after="60"/>
        <w:jc w:val="left"/>
      </w:pPr>
      <w:r>
        <w:rPr>
          <w:rFonts w:ascii="Times New Roman" w:hAnsi="Times New Roman" w:cs="Times New Roman"/>
          <w:b/>
          <w:i w:val="0"/>
          <w:color w:val="000000"/>
          <w:sz w:val="22"/>
        </w:rPr>
        <w:t>8. VELI OKUL İŞ BIRLIĞI VE SOSYAL ETKINLIKLER</w:t>
      </w:r>
    </w:p>
    <w:p>
      <w:pPr>
        <w:spacing w:before="0" w:after="100" w:line="271" w:lineRule="auto"/>
        <w:ind w:firstLine="425"/>
        <w:jc w:val="both"/>
      </w:pPr>
      <w:r>
        <w:rPr>
          <w:rFonts w:ascii="Times New Roman" w:hAnsi="Times New Roman" w:cs="Times New Roman"/>
          <w:b w:val="0"/>
          <w:i w:val="0"/>
          <w:color w:val="000000"/>
          <w:sz w:val="21"/>
        </w:rPr>
        <w:t>Öğrencilerin akademik, sosyal, kültürel, sanatsal ve sportif gelişimlerinin desteklenmesi amacıyla veli-okul iş birliğinin güçlendirilmesi; öğrenci kulübü, sosyal sorumluluk, gezi, yarışma ve proje çalışmalarına sınıfın ihtiyaçları doğrultusunda katılım sağlanması kararlaştırıldı.</w:t>
      </w:r>
    </w:p>
    <w:p>
      <w:pPr>
        <w:keepNext/>
        <w:spacing w:before="140" w:after="60"/>
        <w:jc w:val="left"/>
      </w:pPr>
      <w:r>
        <w:rPr>
          <w:rFonts w:ascii="Times New Roman" w:hAnsi="Times New Roman" w:cs="Times New Roman"/>
          <w:b/>
          <w:i w:val="0"/>
          <w:color w:val="000000"/>
          <w:sz w:val="22"/>
        </w:rPr>
        <w:t>9. GÜVENLI EĞITIM ORTAMI VE BILIŞIM ARAÇLARI</w:t>
      </w:r>
    </w:p>
    <w:p>
      <w:pPr>
        <w:spacing w:before="0" w:after="100" w:line="271" w:lineRule="auto"/>
        <w:ind w:firstLine="425"/>
        <w:jc w:val="both"/>
      </w:pPr>
      <w:r>
        <w:rPr>
          <w:rFonts w:ascii="Times New Roman" w:hAnsi="Times New Roman" w:cs="Times New Roman"/>
          <w:b w:val="0"/>
          <w:i w:val="0"/>
          <w:color w:val="000000"/>
          <w:sz w:val="21"/>
        </w:rPr>
        <w:t>Eğitim kaynakları ile laboratuvar, atölye, kütüphane ve diğer okul birimlerinden güvenli yararlanma esasları değerlendirilmiş; bilişim araçlarının öğretim programlarının özelliğine uygun, güvenli ve sorumlu biçimde kullanılmasına yönelik hatırlatmaların ders süreçlerinde yapılmasına karar verildi.</w:t>
      </w:r>
    </w:p>
    <w:p>
      <w:r>
        <w:br w:type="page"/>
      </w:r>
    </w:p>
    <w:p>
      <w:pPr>
        <w:keepNext/>
        <w:spacing w:before="140" w:after="60"/>
        <w:jc w:val="left"/>
      </w:pPr>
      <w:r>
        <w:rPr>
          <w:rFonts w:ascii="Times New Roman" w:hAnsi="Times New Roman" w:cs="Times New Roman"/>
          <w:b/>
          <w:i w:val="0"/>
          <w:color w:val="000000"/>
          <w:sz w:val="22"/>
        </w:rPr>
        <w:t>10. SINIF DÜZEYINE ÖZGÜ ÇALIŞMALAR</w:t>
      </w:r>
    </w:p>
    <w:p>
      <w:pPr>
        <w:spacing w:before="0" w:after="100" w:line="271" w:lineRule="auto"/>
        <w:ind w:firstLine="425"/>
        <w:jc w:val="both"/>
      </w:pPr>
      <w:r>
        <w:rPr>
          <w:rFonts w:ascii="Times New Roman" w:hAnsi="Times New Roman" w:cs="Times New Roman"/>
          <w:b w:val="0"/>
          <w:i w:val="0"/>
          <w:color w:val="000000"/>
          <w:sz w:val="21"/>
        </w:rPr>
        <w:t>Öğrencilerin çalışma zamanlarını planlama, görevlerini tamamlama, kaynakları doğru kullanma ve dijital ortamlarda güvenli-sorumlu davranma becerilerinin ders süreçleriyle ilişkilendirilerek izlenmesi; ihtiyaç görülen öğrenciler için rehberlik desteği planlanması kararlaştırıldı.</w:t>
      </w:r>
    </w:p>
    <w:p>
      <w:pPr>
        <w:keepNext/>
        <w:spacing w:before="140" w:after="60"/>
        <w:jc w:val="left"/>
      </w:pPr>
      <w:r>
        <w:rPr>
          <w:rFonts w:ascii="Times New Roman" w:hAnsi="Times New Roman" w:cs="Times New Roman"/>
          <w:b/>
          <w:i w:val="0"/>
          <w:color w:val="000000"/>
          <w:sz w:val="22"/>
        </w:rPr>
        <w:t>11. MEVZUATA UYGUN BIREYSEL İŞLEMLER</w:t>
      </w:r>
    </w:p>
    <w:p>
      <w:pPr>
        <w:spacing w:before="0" w:after="100" w:line="271" w:lineRule="auto"/>
        <w:ind w:firstLine="425"/>
        <w:jc w:val="both"/>
      </w:pPr>
      <w:r>
        <w:rPr>
          <w:rFonts w:ascii="Times New Roman" w:hAnsi="Times New Roman" w:cs="Times New Roman"/>
          <w:b w:val="0"/>
          <w:i w:val="0"/>
          <w:color w:val="000000"/>
          <w:sz w:val="21"/>
        </w:rPr>
        <w:t>Sınıf geçme ve sınıf tekrarıyla ilgili olabilecek durumların dönem içinde düzenli izlenmesi, gerekli rehberlik ve veli bilgilendirmelerinin zamanında yapılması; yıl sonu değerlendirmelerinin ilgili mevzuat ve e-Okul işlemleri doğrultusunda yürütülmesi kararlaştırıldı.</w:t>
      </w:r>
    </w:p>
    <w:p>
      <w:pPr>
        <w:keepNext/>
        <w:spacing w:before="140" w:after="60"/>
        <w:jc w:val="left"/>
      </w:pPr>
      <w:r>
        <w:rPr>
          <w:rFonts w:ascii="Times New Roman" w:hAnsi="Times New Roman" w:cs="Times New Roman"/>
          <w:b/>
          <w:i w:val="0"/>
          <w:color w:val="000000"/>
          <w:sz w:val="22"/>
        </w:rPr>
        <w:t>12. UYGULAMA, İZLEME VE DEĞERLENDIRME</w:t>
      </w:r>
    </w:p>
    <w:p>
      <w:pPr>
        <w:spacing w:before="0" w:after="100" w:line="271" w:lineRule="auto"/>
        <w:ind w:firstLine="425"/>
        <w:jc w:val="both"/>
      </w:pPr>
      <w:r>
        <w:rPr>
          <w:rFonts w:ascii="Times New Roman" w:hAnsi="Times New Roman" w:cs="Times New Roman"/>
          <w:b w:val="0"/>
          <w:i w:val="0"/>
          <w:color w:val="000000"/>
          <w:sz w:val="21"/>
        </w:rPr>
        <w:t>Bu toplantıda alınan kararların sorumlular, uygulama zamanları ve izleme biçimleri belirlenerek kayıt altına alınmasına; gelişmelerin ikinci dönem boyunca değerlendirilmesine ve ihtiyaç ortaya çıkması hâlinde okul müdürünün uygun görmesiyle ek toplantı yapılmasına karar verildi.</w:t>
      </w:r>
    </w:p>
    <w:p>
      <w:pPr>
        <w:keepNext/>
        <w:spacing w:before="140" w:after="60"/>
        <w:jc w:val="left"/>
      </w:pPr>
      <w:r>
        <w:rPr>
          <w:rFonts w:ascii="Times New Roman" w:hAnsi="Times New Roman" w:cs="Times New Roman"/>
          <w:b/>
          <w:i w:val="0"/>
          <w:color w:val="000000"/>
          <w:sz w:val="22"/>
        </w:rPr>
        <w:t>KARARLARIN UYGULANMASI VE İZLENMESI</w:t>
      </w:r>
    </w:p>
    <w:tbl>
      <w:tblPr>
        <w:tblW w:type="auto" w:w="0"/>
        <w:jc w:val="center"/>
        <w:tblLayout w:type="fixed"/>
        <w:tblLook w:firstColumn="1" w:firstRow="1" w:lastColumn="0" w:lastRow="0" w:noHBand="0" w:noVBand="1" w:val="04A0"/>
      </w:tblPr>
      <w:tblGrid>
        <w:gridCol w:w="2338"/>
        <w:gridCol w:w="2338"/>
        <w:gridCol w:w="2338"/>
        <w:gridCol w:w="2338"/>
      </w:tblGrid>
      <w:tr>
        <w:trPr>
          <w:tblHeader w:val="true"/>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Karar / Çalışma</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Sorumlu</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Uygulama Zamanı</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ve Değerlendirme</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Öğrenme gereksinimlerinin ders bazında izlenmesi ve gerekli destek çalışmalarının planlanması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ikinci dönem boyunca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Ölçme sonuçları, ders içi gözlem ve öğrenci çalışmaları</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Öz Düzenleme ve Dijital Sorumluluk kapsamındaki çalışmaların yürütülmesi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ilgili öğretmenler</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ikinci dönem boyunca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genel izleme tablosu ve gerektiğinde veli görüşmesi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sınıf iklimi ve rehberlik ihtiyacı görülen öğrenciler için iş birliği kurulması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rehberlik servisi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ikinci dönem boyunca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Rehberlik kayıtları ve kurul değerlendirmesi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Kaynaştırma/bütünleştirme yoluyla eğitimine devam eden öğrenciler için planlanan desteklerin izlenmesi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öğretmenler ve BEP geliştirme birimi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plan doğrultusunda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BEP hedefleri ve öğretmen gözlemleri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Sosyal sorumluluk, kültürel, bilimsel, sanatsal ve sportif etkinliklere katılımın desteklenmesi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Danışman öğretmenler ve 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ikinci dönem boyunca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Etkinlik kayıtları ve öğrenci geri bildirimleri</w:t>
            </w:r>
          </w:p>
        </w:tc>
      </w:tr>
    </w:tbl>
    <w:p>
      <w:pPr>
        <w:spacing w:after="0"/>
      </w:pPr>
    </w:p>
    <w:p>
      <w:r>
        <w:br w:type="page"/>
      </w:r>
    </w:p>
    <w:p>
      <w:pPr>
        <w:keepNext/>
        <w:spacing w:before="140" w:after="60"/>
        <w:jc w:val="left"/>
      </w:pPr>
      <w:r>
        <w:rPr>
          <w:rFonts w:ascii="Times New Roman" w:hAnsi="Times New Roman" w:cs="Times New Roman"/>
          <w:b/>
          <w:i w:val="0"/>
          <w:color w:val="000000"/>
          <w:sz w:val="22"/>
        </w:rPr>
        <w:t>ŞUBE GENEL DURUMU VE EĞITIMSEL İZLEME</w:t>
      </w:r>
    </w:p>
    <w:p>
      <w:pPr>
        <w:spacing w:before="0" w:after="80" w:line="276" w:lineRule="auto"/>
        <w:jc w:val="both"/>
      </w:pPr>
      <w:r>
        <w:rPr>
          <w:rFonts w:ascii="Times New Roman" w:hAnsi="Times New Roman" w:cs="Times New Roman"/>
          <w:b w:val="0"/>
          <w:i w:val="0"/>
          <w:color w:val="000000"/>
          <w:sz w:val="19"/>
        </w:rPr>
        <w:t>Aşağıdaki çizelge, öğrencilerin isimleri yazılmadan şubenin genel görünümünü belirlemek ve alınan kararların izlenmesini sağlamak amacıyla düzenlenmiştir.</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Alanı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Şubenin Genel Görünümü</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Belirlenen Öncelik</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Alınan Tedbir</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Zamanı</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Öğrenme Sürekliliği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Okuduğunu Anlama ve Problem Çözme</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Öz Düzenleme ve Ödev Takibi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Dijital Sorumluluk</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Durumu</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Kaynaştırma/BEP Süreci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bl>
    <w:p>
      <w:pPr>
        <w:spacing w:after="0"/>
      </w:pPr>
    </w:p>
    <w:p>
      <w:pPr>
        <w:keepNext/>
        <w:spacing w:before="140" w:after="60"/>
        <w:jc w:val="left"/>
      </w:pPr>
      <w:r>
        <w:rPr>
          <w:rFonts w:ascii="Times New Roman" w:hAnsi="Times New Roman" w:cs="Times New Roman"/>
          <w:b/>
          <w:i w:val="0"/>
          <w:color w:val="000000"/>
          <w:sz w:val="22"/>
        </w:rPr>
        <w:t>ÖĞRENCI BAZLI EĞITIMSEL DEĞERLENDIRME VE DESTEK İZLEME ÇIZELGESI</w:t>
      </w:r>
    </w:p>
    <w:p>
      <w:pPr>
        <w:spacing w:before="0" w:after="80" w:line="276" w:lineRule="auto"/>
        <w:jc w:val="both"/>
      </w:pPr>
      <w:r>
        <w:rPr>
          <w:rFonts w:ascii="Times New Roman" w:hAnsi="Times New Roman" w:cs="Times New Roman"/>
          <w:b w:val="0"/>
          <w:i w:val="0"/>
          <w:color w:val="000000"/>
          <w:sz w:val="19"/>
        </w:rPr>
        <w:t>Bu bölüm kurumda yürütülen gizlilik ilkelerine uygun olarak öğrenci adı yerine öğrenci numarası veya kodu kullanılarak doldurulur. Sağlık, tanı ve özel nitelikli kişisel veriler bu tutanağa yazılmaz.</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Sıra No</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Öğrenci No / Kod</w:t>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Gözlenen Eğitimsel Gereksinim</w:t>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Planlanan Destek ve Sorumlu</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Tarihi</w:t>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1</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2</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3</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4</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5</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6</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bl>
    <w:p>
      <w:pPr>
        <w:spacing w:after="0"/>
      </w:pPr>
    </w:p>
    <w:p>
      <w:r>
        <w:br w:type="page"/>
      </w:r>
    </w:p>
    <w:p>
      <w:pPr>
        <w:keepNext/>
        <w:spacing w:before="140" w:after="60"/>
        <w:jc w:val="left"/>
      </w:pPr>
      <w:r>
        <w:rPr>
          <w:rFonts w:ascii="Times New Roman" w:hAnsi="Times New Roman" w:cs="Times New Roman"/>
          <w:b/>
          <w:i w:val="0"/>
          <w:color w:val="000000"/>
          <w:sz w:val="22"/>
        </w:rPr>
        <w:t>İMZA ÇIZELGESI</w:t>
      </w:r>
    </w:p>
    <w:p>
      <w:pPr>
        <w:spacing w:before="0" w:after="120" w:line="276" w:lineRule="auto"/>
        <w:ind w:firstLine="425"/>
        <w:jc w:val="both"/>
      </w:pPr>
      <w:r>
        <w:rPr>
          <w:rFonts w:ascii="Times New Roman" w:hAnsi="Times New Roman" w:cs="Times New Roman"/>
          <w:b w:val="0"/>
          <w:i w:val="0"/>
          <w:color w:val="000000"/>
          <w:sz w:val="20"/>
        </w:rPr>
        <w:t>İşbu tutanak, toplantıya katılan kurul üyelerince okunmuş; görüşülen hususlar ile alınan kararların doğruluğu kabul edilerek imza altına alınmıştır.</w:t>
      </w:r>
    </w:p>
    <w:tbl>
      <w:tblPr>
        <w:tblW w:type="auto" w:w="0"/>
        <w:jc w:val="center"/>
        <w:tblLayout w:type="fixed"/>
        <w:tblLook w:firstColumn="1" w:firstRow="1" w:lastColumn="0" w:lastRow="0" w:noHBand="0" w:noVBand="1" w:val="04A0"/>
      </w:tblPr>
      <w:tblGrid>
        <w:gridCol w:w="4677"/>
        <w:gridCol w:w="4677"/>
      </w:tblGrid>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Kurul Başkanı</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bl>
    <w:p>
      <w:pPr>
        <w:spacing w:before="120" w:after="0"/>
        <w:jc w:val="center"/>
      </w:pPr>
      <w:r>
        <w:rPr>
          <w:rFonts w:ascii="Times New Roman" w:hAnsi="Times New Roman" w:cs="Times New Roman"/>
          <w:b/>
          <w:i w:val="0"/>
          <w:color w:val="000000"/>
          <w:sz w:val="21"/>
        </w:rPr>
        <w:t>UYGUNDUR</w:t>
        <w:br/>
        <w:br/>
        <w:t>Okul Müdürü</w:t>
        <w:br/>
        <w:t>Adı Soyadı</w:t>
        <w:br/>
        <w:t>İmza</w:t>
      </w:r>
    </w:p>
    <w:sectPr w:rsidR="00FC693F" w:rsidRPr="0006063C" w:rsidSect="00034616">
      <w:pgSz w:w="11906" w:h="16838"/>
      <w:pgMar w:top="1134" w:right="1276" w:bottom="1020" w:left="1276"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