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ORTAOKULU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7. SINIF TÜRKÇE GÜNLÜK PLAN / DERS PLANI</w:t>
      </w:r>
    </w:p>
    <w:p>
      <w:pPr>
        <w:pStyle w:val="Title"/>
        <w:spacing w:after="160"/>
      </w:pPr>
      <w:r>
        <w:rPr>
          <w:rFonts w:ascii="Times New Roman" w:hAnsi="Times New Roman"/>
          <w:b/>
          <w:color w:val="000000"/>
          <w:sz w:val="24"/>
        </w:rPr>
        <w:t>5. HAFTA</w:t>
      </w:r>
    </w:p>
    <w:tbl>
      <w:tblPr>
        <w:tblW w:type="auto" w:w="0"/>
        <w:jc w:val="center"/>
        <w:tblLayout w:type="fixed"/>
        <w:tblLook w:firstColumn="1" w:firstRow="1" w:lastColumn="0" w:lastRow="0" w:noHBand="0" w:noVBand="1" w:val="04A0"/>
      </w:tblPr>
      <w:tblGrid>
        <w:gridCol w:w="2480"/>
        <w:gridCol w:w="2480"/>
        <w:gridCol w:w="2480"/>
        <w:gridCol w:w="2480"/>
      </w:tblGrid>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Kurum</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Eğitim Öğretim Yılı</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2026-2027</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Ders</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Türkçe</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Sınıf / Şube</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6 / ............</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Hafta</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5. Hafta</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Uygulama Tarih Aralığı</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12-16 Ekim 2026</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Toplam Ders Saati</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5 ders saati</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Düzenleme / İmza Tarihi</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12 Ekim 2026 Pazartesi</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Ders Öğretmeni</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Ders Kitabı</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MEB Yayınları Türkçe Ders Kitabı</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Plan Türü</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Günlük Plan / Ders Planı</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Dersin İşleneceği Gün ve Saat</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Okul ders çizelgesine göre</w:t>
            </w:r>
          </w:p>
        </w:tc>
      </w:tr>
    </w:tbl>
    <w:p>
      <w:pPr>
        <w:pStyle w:val="Heading1"/>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61"/>
        <w:gridCol w:w="4961"/>
      </w:tblGrid>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Tema</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Hayat Boyu Gelişim</w:t>
            </w:r>
          </w:p>
        </w:tc>
      </w:tr>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Metin / Çalışma</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Sen Sor O Yanıtlasın: Sporda ve Yaşamda Hedefe Odaklan</w:t>
            </w:r>
          </w:p>
        </w:tc>
      </w:tr>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Haftanın Öğrenme Odağı</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dinleme-izleme içeriğinin ana iletisini çözümleme, görüşleri güvenilir kanıtla destekleme, kişisel gelişim için uygulanabilir öneri oluşturma</w:t>
            </w:r>
          </w:p>
        </w:tc>
      </w:tr>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Seçili Öğrenme Çıktıları</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T.D.7.1, T.D.7.4, T.D.7.5 ve T.D.7.25; T.O.7.3, T.O.7.5, T.O.7.6, T.O.7.16 ve T.O.7.27; T.K.7.1, T.K.7.3, T.K.7.22 ve T.K.7.26; T.Y.7.1, T.Y.7.2, T.Y.7.3, T.Y.7.21 ve T.Y.7.22.</w:t>
            </w:r>
          </w:p>
        </w:tc>
      </w:tr>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Değerler ve Beceriler</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İletişim, iş birliği, öz düzenleme, kültür okuryazarlığı, görsel okuryazarlık, sorumluluk ve saygı.</w:t>
            </w:r>
          </w:p>
        </w:tc>
      </w:tr>
    </w:tbl>
    <w:p>
      <w:pPr>
        <w:pStyle w:val="Heading1"/>
      </w:pPr>
      <w:r>
        <w:rPr>
          <w:rFonts w:ascii="Times New Roman" w:hAnsi="Times New Roman"/>
          <w:b/>
          <w:color w:val="000000"/>
          <w:sz w:val="22"/>
        </w:rPr>
        <w:t>Hazırbulunuşluk ve Ön Değerlendirme</w:t>
      </w:r>
    </w:p>
    <w:p>
      <w:pPr>
        <w:spacing w:after="80" w:line="259"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önceki hafta dinleme-izleme içeriğindeki hedef ve kararlılık kavramlarını karşılaştırdıkları kabul edilir.</w:t>
      </w:r>
    </w:p>
    <w:p>
      <w:pPr>
        <w:spacing w:after="80" w:line="259"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“Hedefe odaklanmayı güçlendiren öneriler, kanıtla desteklenmediğinde neden ikna edici olmayabilir?” sorusu yöneltilir. Yanıtlar not vermek için değil, öğrenme sürecindeki desteği belirlemek üzere öğretmen gözlem notlarıyla izlenir.</w:t>
      </w:r>
    </w:p>
    <w:p>
      <w:pPr>
        <w:pStyle w:val="Heading1"/>
      </w:pPr>
      <w:r>
        <w:rPr>
          <w:rFonts w:ascii="Times New Roman" w:hAnsi="Times New Roman"/>
          <w:b/>
          <w:color w:val="000000"/>
          <w:sz w:val="22"/>
        </w:rPr>
        <w:t>Araç Gereç ve Kaynaklar</w:t>
      </w:r>
    </w:p>
    <w:p>
      <w:pPr>
        <w:spacing w:after="80" w:line="259" w:lineRule="auto"/>
        <w:ind w:firstLine="255"/>
      </w:pPr>
      <w:r>
        <w:rPr>
          <w:rFonts w:ascii="Times New Roman" w:hAnsi="Times New Roman"/>
          <w:b/>
          <w:color w:val="000000"/>
          <w:sz w:val="20"/>
        </w:rPr>
        <w:t xml:space="preserve">Araç gereç: </w:t>
      </w:r>
      <w:r>
        <w:rPr>
          <w:rFonts w:ascii="Times New Roman" w:hAnsi="Times New Roman"/>
          <w:b w:val="0"/>
          <w:color w:val="000000"/>
          <w:sz w:val="20"/>
        </w:rPr>
        <w:t>Dinleme-izleme içeriği, ders kitabı, kanıt-görüş çizelgesi, hedef izleme formu, sunum planı, öz değerlendirme formu.</w:t>
      </w:r>
    </w:p>
    <w:p>
      <w:pPr>
        <w:spacing w:after="80" w:line="259" w:lineRule="auto"/>
        <w:ind w:firstLine="255"/>
      </w:pPr>
      <w:r>
        <w:rPr>
          <w:rFonts w:ascii="Times New Roman" w:hAnsi="Times New Roman"/>
          <w:b/>
          <w:color w:val="000000"/>
          <w:sz w:val="20"/>
        </w:rPr>
        <w:t xml:space="preserve">Kaynak kullanımı: </w:t>
      </w:r>
      <w:r>
        <w:rPr>
          <w:rFonts w:ascii="Times New Roman" w:hAnsi="Times New Roman"/>
          <w:b w:val="0"/>
          <w:color w:val="000000"/>
          <w:sz w:val="20"/>
        </w:rPr>
        <w:t>Metin, ders kitabı ve öğretmenin seçtiği yaş düzeyine uygun güvenilir kaynaklar üzerinden incelenir. Görsel, ses kaydı veya dijital içeriklerde telif ve kişisel veri kurallarına uyulur.</w:t>
      </w:r>
    </w:p>
    <w:p>
      <w:pPr>
        <w:pStyle w:val="Heading1"/>
      </w:pPr>
      <w:r>
        <w:rPr>
          <w:rFonts w:ascii="Times New Roman" w:hAnsi="Times New Roman"/>
          <w:b/>
          <w:color w:val="000000"/>
          <w:sz w:val="22"/>
        </w:rPr>
        <w:t>Öğrenme Öğretme Süreci</w:t>
      </w:r>
    </w:p>
    <w:p>
      <w:pPr>
        <w:spacing w:after="80" w:line="259"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süreç 40 dakikalık ders saatleri dikkate alınarak hazırlanmıştır. Etkinlik süreleri okulun ders çizelgesi, öğrencilerin hazırbulunuşluğu ve zümre kararları doğrultusunda uyarlanabilir.</w:t>
      </w:r>
    </w:p>
    <w:p>
      <w:pPr>
        <w:pStyle w:val="Heading2"/>
      </w:pPr>
      <w:r>
        <w:rPr>
          <w:rFonts w:ascii="Times New Roman" w:hAnsi="Times New Roman"/>
          <w:b/>
          <w:color w:val="000000"/>
          <w:sz w:val="20"/>
        </w:rPr>
        <w:t>Birinci Ders Saati</w:t>
      </w:r>
    </w:p>
    <w:p>
      <w:pPr>
        <w:pStyle w:val="Stage"/>
        <w:keepNext/>
      </w:pPr>
      <w:r>
        <w:rPr>
          <w:rFonts w:ascii="Times New Roman" w:hAnsi="Times New Roman"/>
          <w:b/>
          <w:color w:val="000000"/>
          <w:sz w:val="20"/>
        </w:rPr>
        <w:t>Dikkati çekme ve ön bilgiyi yoklama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“Hedefe odaklanmayı güçlendiren öneriler, kanıtla desteklenmediğinde neden ikna edici olmayabilir?” sorusunu yöneltir. Öğrencilerin ilk yanıtlarını not vermek için değil, ders sürecindeki desteği belirlemek için toplar.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soruya kısa tahmin yazar veya sözlü cevap verir; bildiği ve araştırmak istediği bilgiyi ayırır.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Başlangıç cümlesi, tahmin kartı veya kısa sözlü açıklama.</w:t>
      </w:r>
    </w:p>
    <w:p>
      <w:pPr>
        <w:pStyle w:val="Stage"/>
        <w:keepNext/>
      </w:pPr>
      <w:r>
        <w:rPr>
          <w:rFonts w:ascii="Times New Roman" w:hAnsi="Times New Roman"/>
          <w:b/>
          <w:color w:val="000000"/>
          <w:sz w:val="20"/>
        </w:rPr>
        <w:t>Metinle karşılaşma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Sen Sor O Yanıtlasın: Sporda ve Yaşamda Hedefe Odaklan çalışmasının amacını açıklar; başlık, görsel, anahtar sözcük ve metin türü ipuçlarından yararlanmayı modelleyerek öğrencileri etkinliğe yönlendirir.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metni dinler, izler veya okur; önemli gördüğü ifadeleri işaretler ve anlamını bilmediği sözcükleri not eder.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İşaretlenmiş metin bölümü, dinleme/okuma notu ve sözcük listesi.</w:t>
      </w:r>
    </w:p>
    <w:p>
      <w:pPr>
        <w:pStyle w:val="Stage"/>
        <w:keepNext/>
      </w:pPr>
      <w:r>
        <w:rPr>
          <w:rFonts w:ascii="Times New Roman" w:hAnsi="Times New Roman"/>
          <w:b/>
          <w:color w:val="000000"/>
          <w:sz w:val="20"/>
        </w:rPr>
        <w:t>İlk bulguları paylaşma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öğrencilerin metinden aldıkları ilk ipuçlarını sınıflandırır. Yanıtların kanıta dayanıp dayanmadığını sorgulayan kısa sorular sorar.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bulgusunu metindeki bir ifade, görsel veya bölümle ilişkilendirerek paylaşır.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Kanıt göstererek yapılmış kısa paylaşım.</w:t>
      </w:r>
    </w:p>
    <w:p>
      <w:pPr>
        <w:pStyle w:val="Heading2"/>
      </w:pPr>
      <w:r>
        <w:rPr>
          <w:rFonts w:ascii="Times New Roman" w:hAnsi="Times New Roman"/>
          <w:b/>
          <w:color w:val="000000"/>
          <w:sz w:val="20"/>
        </w:rPr>
        <w:t>İkinci Ders Saati</w:t>
      </w:r>
    </w:p>
    <w:p>
      <w:pPr>
        <w:pStyle w:val="Stage"/>
        <w:keepNext/>
      </w:pPr>
      <w:r>
        <w:rPr>
          <w:rFonts w:ascii="Times New Roman" w:hAnsi="Times New Roman"/>
          <w:b/>
          <w:color w:val="000000"/>
          <w:sz w:val="20"/>
        </w:rPr>
        <w:t>Okuma veya dinleme stratejisini seçme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bu derste kullanılabilecek not alma, tahmin doğrulama, işaretleme veya soru-cevap stratejilerini örnekler. Öğrencilerin ihtiyacına uygun seçim yapmasına rehberlik eder.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kullanacağı stratejiyi seçer ve bunu neden seçtiğini kısa cümleyle açıklar.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Seçilen strateji ve gerekçesi.</w:t>
      </w:r>
    </w:p>
    <w:p>
      <w:pPr>
        <w:pStyle w:val="Stage"/>
        <w:keepNext/>
      </w:pPr>
      <w:r>
        <w:rPr>
          <w:rFonts w:ascii="Times New Roman" w:hAnsi="Times New Roman"/>
          <w:b/>
          <w:color w:val="000000"/>
          <w:sz w:val="20"/>
        </w:rPr>
        <w:t>Anlam kurma ve söz varlığı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bağlamdaki ipuçlarını görünür kılar; öğrencilerin sözlük veya güvenilir başvuru kaynağından yararlanarak tahminini kontrol etmesini sağlar.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sözcüklerin anlamını bağlamdan tahmin eder, uygun kaynaktan doğrular ve kelimeyi yeni bir cümlede kullanır.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Söz varlığı tablosu ve doğru bağlam cümlesi.</w:t>
      </w:r>
    </w:p>
    <w:p>
      <w:pPr>
        <w:pStyle w:val="Stage"/>
        <w:keepNext/>
      </w:pPr>
      <w:r>
        <w:rPr>
          <w:rFonts w:ascii="Times New Roman" w:hAnsi="Times New Roman"/>
          <w:b/>
          <w:color w:val="000000"/>
          <w:sz w:val="20"/>
        </w:rPr>
        <w:t>Metin yapısını belirleme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metnin türüne göre olay, bilgi, yönerge veya mektup bölümlerinin nasıl izlenebileceğini sorularla yönlendirir.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metnin önemli bölümünü, olayını, bilgisini veya işlem basamağını şema üzerinde gösterir.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Hikâye haritası, bilgi şeması veya işlem basamağı çizelgesi.</w:t>
      </w:r>
    </w:p>
    <w:p>
      <w:pPr>
        <w:pStyle w:val="Heading2"/>
      </w:pPr>
      <w:r>
        <w:rPr>
          <w:rFonts w:ascii="Times New Roman" w:hAnsi="Times New Roman"/>
          <w:b/>
          <w:color w:val="000000"/>
          <w:sz w:val="20"/>
        </w:rPr>
        <w:t>Üçüncü Ders Saati</w:t>
      </w:r>
    </w:p>
    <w:p>
      <w:pPr>
        <w:pStyle w:val="Stage"/>
        <w:keepNext/>
      </w:pPr>
      <w:r>
        <w:rPr>
          <w:rFonts w:ascii="Times New Roman" w:hAnsi="Times New Roman"/>
          <w:b/>
          <w:color w:val="000000"/>
          <w:sz w:val="20"/>
        </w:rPr>
        <w:t>Kanıta dayalı konuşma hazırlığı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konuşmanın amacı, dinleyicisi ve süresi için ölçütleri açıklar. Öğrencilerden metne dayanmayan genellemeleri kanıtla sınırlandırmalarını ister.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söyleyecekleri iki ana düşünceyi ve her düşünce için metinden bir kanıtı planlar.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Kısa konuşma planı.</w:t>
      </w:r>
    </w:p>
    <w:p>
      <w:pPr>
        <w:pStyle w:val="Stage"/>
        <w:keepNext/>
      </w:pPr>
      <w:r>
        <w:rPr>
          <w:rFonts w:ascii="Times New Roman" w:hAnsi="Times New Roman"/>
          <w:b/>
          <w:color w:val="000000"/>
          <w:sz w:val="20"/>
        </w:rPr>
        <w:t>Sözlü etkileşim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ikili veya küçük grup konuşmalarını izler; söz alma-verme, ses tonu ve saygılı dinleme açısından gerekli geri bildirimi verir.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metnin mesajı, Türkçenin kullanım alanı, tarihî bağlam veya vatan kavramı hakkında görüş belirtir; arkadaşının görüşüne metin kanıtıyla cevap verir.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Konuşma gözlem notu ve akran geri bildirimi.</w:t>
      </w:r>
    </w:p>
    <w:p>
      <w:pPr>
        <w:pStyle w:val="Stage"/>
        <w:keepNext/>
      </w:pPr>
      <w:r>
        <w:rPr>
          <w:rFonts w:ascii="Times New Roman" w:hAnsi="Times New Roman"/>
          <w:b/>
          <w:color w:val="000000"/>
          <w:sz w:val="20"/>
        </w:rPr>
        <w:t>Geri bildirimle düzenleme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birkaç öğrenci örneği üzerinden açık, ilgili ve kanıtlı anlatımın özelliklerini görünür kılar.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konuşma notundaki bir ifadeyi aldığı geri bildirime göre düzeltir veya güçlendirir.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Düzeltilmiş konuşma notu.</w:t>
      </w:r>
    </w:p>
    <w:p>
      <w:pPr>
        <w:pStyle w:val="Heading2"/>
      </w:pPr>
      <w:r>
        <w:rPr>
          <w:rFonts w:ascii="Times New Roman" w:hAnsi="Times New Roman"/>
          <w:b/>
          <w:color w:val="000000"/>
          <w:sz w:val="20"/>
        </w:rPr>
        <w:t>Dördüncü Ders Saati</w:t>
      </w:r>
    </w:p>
    <w:p>
      <w:pPr>
        <w:pStyle w:val="Stage"/>
        <w:keepNext/>
      </w:pPr>
      <w:r>
        <w:rPr>
          <w:rFonts w:ascii="Times New Roman" w:hAnsi="Times New Roman"/>
          <w:b/>
          <w:color w:val="000000"/>
          <w:sz w:val="20"/>
        </w:rPr>
        <w:t>Yazma amacını ve yapısını belirleme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yazının amacı ile seçilecek paragraf veya metin yapısı arasındaki ilişkiyi açıklar. Gerektiğinde giriş-gelişme-sonuç ya da hitap-içerik-kapanış şablonu kullanır.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yazısının amacını, okuyucusunu ve kullanacağı yapıyı planlar.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Yazma planı veya taslak şema.</w:t>
      </w:r>
    </w:p>
    <w:p>
      <w:pPr>
        <w:pStyle w:val="Stage"/>
        <w:keepNext/>
      </w:pPr>
      <w:r>
        <w:rPr>
          <w:rFonts w:ascii="Times New Roman" w:hAnsi="Times New Roman"/>
          <w:b/>
          <w:color w:val="000000"/>
          <w:sz w:val="20"/>
        </w:rPr>
        <w:t>Taslak metin oluşturma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öğrencilerin kanıt-görüş çizelgesi, kişisel hedef izleme formu, iki dakikalık konuşma planı ve açıklayıcı öneri metni. hazırlarken metne, görsele ve kendi notlarına dönmesini sağlar. Yazım ve noktalama kurallarını ürün üzerinde uygulatır.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planına uygun taslak metin, yönerge, mektup, açıklama veya sunum metni oluşturur.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Taslak ürün ve kullanılan kanıtların işaretlenmesi.</w:t>
      </w:r>
    </w:p>
    <w:p>
      <w:pPr>
        <w:pStyle w:val="Stage"/>
        <w:keepNext/>
      </w:pPr>
      <w:r>
        <w:rPr>
          <w:rFonts w:ascii="Times New Roman" w:hAnsi="Times New Roman"/>
          <w:b/>
          <w:color w:val="000000"/>
          <w:sz w:val="20"/>
        </w:rPr>
        <w:t>Akran ve öz değerlendirme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kısa bir ölçüt listesi ile metnin anlaşılır olma, kanıt kullanma, uygun söz varlığı ve yazım-noktalama boyutlarını değerlendirir.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kendi yazısında bir güçlü yön ve bir geliştirme noktası belirler; bir arkadaşına yapıcı geri bildirim verir.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Doldurulmuş öz/akran değerlendirme bölümü.</w:t>
      </w:r>
    </w:p>
    <w:p>
      <w:pPr>
        <w:pStyle w:val="Heading2"/>
      </w:pPr>
      <w:r>
        <w:rPr>
          <w:rFonts w:ascii="Times New Roman" w:hAnsi="Times New Roman"/>
          <w:b/>
          <w:color w:val="000000"/>
          <w:sz w:val="20"/>
        </w:rPr>
        <w:t>Beşinci Ders Saati</w:t>
      </w:r>
    </w:p>
    <w:p>
      <w:pPr>
        <w:pStyle w:val="Stage"/>
        <w:keepNext/>
      </w:pPr>
      <w:r>
        <w:rPr>
          <w:rFonts w:ascii="Times New Roman" w:hAnsi="Times New Roman"/>
          <w:b/>
          <w:color w:val="000000"/>
          <w:sz w:val="20"/>
        </w:rPr>
        <w:t>Uygulama görevinin açıklanması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ürünün metinle ilişkisini ve değerlendirme ölçütlerini açıklar. Gruplar için gerekli görev paylaşımını netleştirir.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görevlerini belirler ve ürün için kullanacağı metin kanıtlarını seçer.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Görev paylaşımı ve kanıt seçimi.</w:t>
      </w:r>
    </w:p>
    <w:p>
      <w:pPr>
        <w:pStyle w:val="Stage"/>
        <w:keepNext/>
      </w:pPr>
      <w:r>
        <w:rPr>
          <w:rFonts w:ascii="Times New Roman" w:hAnsi="Times New Roman"/>
          <w:b/>
          <w:color w:val="000000"/>
          <w:sz w:val="20"/>
        </w:rPr>
        <w:t>Ürün oluşturma ve geliştirme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grupları dolaşır; öğrencinin açıklamasını doğrudan tamamlamak yerine kanıta dönmesini sağlayan sorular yöneltir.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ürününü tamamlar, anlaşılmayan bölümleri düzenler ve gerekirse sözlük veya metne yeniden başvurur.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Kanıt-görüş çizelgesi, kişisel hedef izleme formu, iki dakikalık konuşma planı ve açıklayıcı öneri metni.</w:t>
      </w:r>
    </w:p>
    <w:p>
      <w:pPr>
        <w:pStyle w:val="Stage"/>
        <w:keepNext/>
      </w:pPr>
      <w:r>
        <w:rPr>
          <w:rFonts w:ascii="Times New Roman" w:hAnsi="Times New Roman"/>
          <w:b/>
          <w:color w:val="000000"/>
          <w:sz w:val="20"/>
        </w:rPr>
        <w:t>Sunum ve transfer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ürünü günlük yaşam, kültürel miras veya farklı bir iletişim durumuyla ilişkilendiren sorular sorar.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ürününü kısa biçimde sunar ve öğrendiği kavramın yeni bir durumdaki kullanımını açıklar.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Kısa sunum ve transfer sorusuna gerekçeli yanıt.</w:t>
      </w:r>
    </w:p>
    <w:p>
      <w:pPr>
        <w:pStyle w:val="Heading1"/>
      </w:pPr>
      <w:r>
        <w:rPr>
          <w:rFonts w:ascii="Times New Roman" w:hAnsi="Times New Roman"/>
          <w:b/>
          <w:color w:val="000000"/>
          <w:sz w:val="22"/>
        </w:rPr>
        <w:t>Farklılaştırma</w:t>
      </w:r>
    </w:p>
    <w:p>
      <w:pPr>
        <w:spacing w:after="80" w:line="259" w:lineRule="auto"/>
        <w:ind w:firstLine="255"/>
      </w:pPr>
      <w:r>
        <w:rPr>
          <w:rFonts w:ascii="Times New Roman" w:hAnsi="Times New Roman"/>
          <w:b/>
          <w:color w:val="000000"/>
          <w:sz w:val="20"/>
        </w:rPr>
        <w:t xml:space="preserve">Destekleme: </w:t>
      </w:r>
      <w:r>
        <w:rPr>
          <w:rFonts w:ascii="Times New Roman" w:hAnsi="Times New Roman"/>
          <w:b w:val="0"/>
          <w:color w:val="000000"/>
          <w:sz w:val="20"/>
        </w:rPr>
        <w:t>Görüş ve kanıtı ayırmak için iki sütunlu form, konuşma için süre kartı ve yazma için açıklayıcı metin planı kullanılır.</w:t>
      </w:r>
    </w:p>
    <w:p>
      <w:pPr>
        <w:spacing w:after="80" w:line="259"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Öğrenciler kendi hedef izleme formunu üç farklı engel ve çözüm önerisiyle geliştirir.</w:t>
      </w:r>
    </w:p>
    <w:p>
      <w:pPr>
        <w:pStyle w:val="Heading1"/>
      </w:pPr>
      <w:r>
        <w:rPr>
          <w:rFonts w:ascii="Times New Roman" w:hAnsi="Times New Roman"/>
          <w:b/>
          <w:color w:val="000000"/>
          <w:sz w:val="22"/>
        </w:rPr>
        <w:t>Ölçme ve Değerlendirme</w:t>
      </w:r>
    </w:p>
    <w:p>
      <w:pPr>
        <w:spacing w:after="80" w:line="259"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Süreç içi gözlem, çalışma kâğıdı, öğrenci ürünü, akran ve öz değerlendirme ile çıkış bileti birlikte kullanılır. Öğrencinin yalnızca sonucu değil, metin kanıtı kullanma, gerekçelendirme ve geri bildirimden yararlanma biçimi de izlenir.</w:t>
      </w:r>
    </w:p>
    <w:tbl>
      <w:tblPr>
        <w:tblW w:type="auto" w:w="0"/>
        <w:jc w:val="center"/>
        <w:tblLayout w:type="fixed"/>
        <w:tblLook w:firstColumn="1" w:firstRow="1" w:lastColumn="0" w:lastRow="0" w:noHBand="0" w:noVBand="1" w:val="04A0"/>
      </w:tblPr>
      <w:tblGrid>
        <w:gridCol w:w="3307"/>
        <w:gridCol w:w="3307"/>
        <w:gridCol w:w="3307"/>
      </w:tblGrid>
      <w:tr>
        <w:tc>
          <w:tcPr>
            <w:tcW w:type="dxa" w:w="6236"/>
            <w:vAlign w:val="center"/>
            <w:tcBorders>
              <w:top w:val="single" w:sz="6" w:color="B9C4CC"/>
              <w:left w:val="single" w:sz="6" w:color="B9C4CC"/>
              <w:bottom w:val="single" w:sz="6" w:color="B9C4CC"/>
              <w:right w:val="single" w:sz="6" w:color="B9C4CC"/>
            </w:tcBorders>
            <w:shd w:fill="D8E6EE" w:val="clear"/>
          </w:tcPr>
          <w:p>
            <w:pPr>
              <w:spacing w:before="0" w:after="0" w:line="240" w:lineRule="auto"/>
              <w:jc w:val="center"/>
            </w:pPr>
            <w:r>
              <w:rPr>
                <w:rFonts w:ascii="Times New Roman" w:hAnsi="Times New Roman"/>
                <w:b/>
                <w:color w:val="000000"/>
                <w:sz w:val="18"/>
              </w:rPr>
              <w:t>Gözlenecek Öğrenme Kanıtı</w:t>
            </w:r>
          </w:p>
        </w:tc>
        <w:tc>
          <w:tcPr>
            <w:tcW w:type="dxa" w:w="1644"/>
            <w:vAlign w:val="center"/>
            <w:tcBorders>
              <w:top w:val="single" w:sz="6" w:color="B9C4CC"/>
              <w:left w:val="single" w:sz="6" w:color="B9C4CC"/>
              <w:bottom w:val="single" w:sz="6" w:color="B9C4CC"/>
              <w:right w:val="single" w:sz="6" w:color="B9C4CC"/>
            </w:tcBorders>
            <w:shd w:fill="D8E6EE" w:val="clear"/>
          </w:tcPr>
          <w:p>
            <w:pPr>
              <w:spacing w:before="0" w:after="0" w:line="240" w:lineRule="auto"/>
              <w:jc w:val="center"/>
            </w:pPr>
            <w:r>
              <w:rPr>
                <w:rFonts w:ascii="Times New Roman" w:hAnsi="Times New Roman"/>
                <w:b/>
                <w:color w:val="000000"/>
                <w:sz w:val="18"/>
              </w:rPr>
              <w:t>Gözlendi</w:t>
            </w:r>
          </w:p>
        </w:tc>
        <w:tc>
          <w:tcPr>
            <w:tcW w:type="dxa" w:w="1701"/>
            <w:vAlign w:val="center"/>
            <w:tcBorders>
              <w:top w:val="single" w:sz="6" w:color="B9C4CC"/>
              <w:left w:val="single" w:sz="6" w:color="B9C4CC"/>
              <w:bottom w:val="single" w:sz="6" w:color="B9C4CC"/>
              <w:right w:val="single" w:sz="6" w:color="B9C4CC"/>
            </w:tcBorders>
            <w:shd w:fill="D8E6EE" w:val="clear"/>
          </w:tcPr>
          <w:p>
            <w:pPr>
              <w:spacing w:before="0" w:after="0" w:line="240" w:lineRule="auto"/>
              <w:jc w:val="center"/>
            </w:pPr>
            <w:r>
              <w:rPr>
                <w:rFonts w:ascii="Times New Roman" w:hAnsi="Times New Roman"/>
                <w:b/>
                <w:color w:val="000000"/>
                <w:sz w:val="18"/>
              </w:rPr>
              <w:t>Desteğe İhtiyaç Var</w:t>
            </w:r>
          </w:p>
        </w:tc>
      </w:tr>
      <w:tr>
        <w:tc>
          <w:tcPr>
            <w:tcW w:type="dxa" w:w="6236"/>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7"/>
              </w:rPr>
              <w:t>Metindeki bilgi, görsel veya bölümden hareketle görüşünü kanıtla açıklar.</w:t>
            </w:r>
          </w:p>
        </w:tc>
        <w:tc>
          <w:tcPr>
            <w:tcW w:type="dxa" w:w="1644"/>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c>
          <w:tcPr>
            <w:tcW w:type="dxa" w:w="1701"/>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r>
      <w:tr>
        <w:tc>
          <w:tcPr>
            <w:tcW w:type="dxa" w:w="6236"/>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7"/>
              </w:rPr>
              <w:t>Bağlamdan tahmin ettiği söz varlığı unsurunu uygun kaynakla kontrol eder.</w:t>
            </w:r>
          </w:p>
        </w:tc>
        <w:tc>
          <w:tcPr>
            <w:tcW w:type="dxa" w:w="1644"/>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c>
          <w:tcPr>
            <w:tcW w:type="dxa" w:w="1701"/>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r>
      <w:tr>
        <w:tc>
          <w:tcPr>
            <w:tcW w:type="dxa" w:w="6236"/>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7"/>
              </w:rPr>
              <w:t>Konuşma veya yazma ürününde amacına uygun yapı ve bağlantı ifadeleri kullanır.</w:t>
            </w:r>
          </w:p>
        </w:tc>
        <w:tc>
          <w:tcPr>
            <w:tcW w:type="dxa" w:w="1644"/>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c>
          <w:tcPr>
            <w:tcW w:type="dxa" w:w="1701"/>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r>
      <w:tr>
        <w:tc>
          <w:tcPr>
            <w:tcW w:type="dxa" w:w="6236"/>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7"/>
              </w:rPr>
              <w:t>Geri bildirimden yararlanarak ürününde en az bir iyileştirme yapar.</w:t>
            </w:r>
          </w:p>
        </w:tc>
        <w:tc>
          <w:tcPr>
            <w:tcW w:type="dxa" w:w="1644"/>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c>
          <w:tcPr>
            <w:tcW w:type="dxa" w:w="1701"/>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r>
    </w:tbl>
    <w:p>
      <w:pPr>
        <w:pStyle w:val="Heading1"/>
      </w:pPr>
      <w:r>
        <w:rPr>
          <w:rFonts w:ascii="Times New Roman" w:hAnsi="Times New Roman"/>
          <w:b/>
          <w:color w:val="000000"/>
          <w:sz w:val="22"/>
        </w:rPr>
        <w:t>Sınıf Defterine Yazılacak İfade</w:t>
      </w:r>
    </w:p>
    <w:p>
      <w:pPr>
        <w:spacing w:after="80" w:line="259"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Sporda ve Yaşamda Hedefe Odaklan dinleme-izleme içeriği üzerinden ana ileti, kanıt-görüş ilişkisi, kişisel hedef izleme, konuşma ve yazma çalışmaları yapıldı.</w:t>
      </w:r>
    </w:p>
    <w:p>
      <w:pPr>
        <w:pStyle w:val="Heading1"/>
      </w:pPr>
      <w:r>
        <w:rPr>
          <w:rFonts w:ascii="Times New Roman" w:hAnsi="Times New Roman"/>
          <w:b/>
          <w:color w:val="000000"/>
          <w:sz w:val="22"/>
        </w:rPr>
        <w:t>Öğretmen Yansıtması ve Sonraki Haftaya Hazırlık</w:t>
      </w:r>
    </w:p>
    <w:p>
      <w:pPr>
        <w:spacing w:after="120"/>
        <w:ind w:firstLine="0"/>
        <w:jc w:val="left"/>
      </w:pPr>
      <w:r>
        <w:rPr>
          <w:rFonts w:ascii="Times New Roman" w:hAnsi="Times New Roman"/>
          <w:b w:val="0"/>
          <w:color w:val="000000"/>
          <w:sz w:val="19"/>
        </w:rPr>
        <w:t>Öğrencilerin en çok zorlandığı kavram, beceri veya metin bölümü: ............................................................................................................................</w:t>
      </w:r>
    </w:p>
    <w:p>
      <w:pPr>
        <w:spacing w:after="120"/>
        <w:ind w:firstLine="0"/>
        <w:jc w:val="left"/>
      </w:pPr>
      <w:r>
        <w:rPr>
          <w:rFonts w:ascii="Times New Roman" w:hAnsi="Times New Roman"/>
          <w:b w:val="0"/>
          <w:color w:val="000000"/>
          <w:sz w:val="19"/>
        </w:rPr>
        <w:t>Bir sonraki uygulamada korunacak veya değiştirilecek öğretim adımı: ........................................................................................................................</w:t>
      </w:r>
    </w:p>
    <w:p>
      <w:pPr>
        <w:spacing w:after="120"/>
        <w:ind w:firstLine="0"/>
        <w:jc w:val="left"/>
      </w:pPr>
      <w:r>
        <w:rPr>
          <w:rFonts w:ascii="Times New Roman" w:hAnsi="Times New Roman"/>
          <w:b w:val="0"/>
          <w:color w:val="000000"/>
          <w:sz w:val="19"/>
        </w:rPr>
        <w:t>Destekleme ya da zenginleştirme ihtiyacı görülen öğrenci grubu / çalışma: ..............................................................................................................</w:t>
      </w:r>
    </w:p>
    <w:p>
      <w:pPr>
        <w:pStyle w:val="Heading1"/>
      </w:pPr>
      <w:r>
        <w:rPr>
          <w:rFonts w:ascii="Times New Roman" w:hAnsi="Times New Roman"/>
          <w:b/>
          <w:color w:val="000000"/>
          <w:sz w:val="22"/>
        </w:rPr>
        <w:t>İmza</w:t>
      </w:r>
    </w:p>
    <w:p>
      <w:pPr>
        <w:spacing w:before="140" w:after="0"/>
        <w:jc w:val="center"/>
      </w:pPr>
      <w:r>
        <w:rPr>
          <w:rFonts w:ascii="Times New Roman" w:hAnsi="Times New Roman"/>
          <w:b w:val="0"/>
          <w:color w:val="000000"/>
          <w:sz w:val="20"/>
        </w:rPr>
        <w:t>12 Ekim 2026</w:t>
      </w:r>
    </w:p>
    <w:p>
      <w:pPr>
        <w:spacing w:before="0" w:after="0"/>
        <w:jc w:val="center"/>
      </w:pPr>
      <w:r>
        <w:rPr>
          <w:rFonts w:ascii="Times New Roman" w:hAnsi="Times New Roman"/>
          <w:b/>
          <w:color w:val="000000"/>
          <w:sz w:val="20"/>
        </w:rPr>
        <w:t>Ders Öğretmeni</w:t>
      </w:r>
    </w:p>
    <w:p>
      <w:pPr>
        <w:spacing w:before="0" w:after="0"/>
        <w:jc w:val="center"/>
      </w:pPr>
      <w:r>
        <w:rPr>
          <w:rFonts w:ascii="Times New Roman" w:hAnsi="Times New Roman"/>
          <w:b w:val="0"/>
          <w:color w:val="000000"/>
          <w:sz w:val="20"/>
        </w:rPr>
        <w:t>........................................................</w:t>
      </w:r>
    </w:p>
    <w:p>
      <w:pPr>
        <w:spacing w:before="0" w:after="0"/>
        <w:jc w:val="center"/>
      </w:pPr>
      <w:r>
        <w:rPr>
          <w:rFonts w:ascii="Times New Roman" w:hAnsi="Times New Roman"/>
          <w:b w:val="0"/>
          <w:color w:val="000000"/>
          <w:sz w:val="20"/>
        </w:rPr>
        <w:t>İmza</w:t>
      </w:r>
    </w:p>
    <w:sectPr w:rsidR="00FC693F" w:rsidRPr="0006063C" w:rsidSect="00034616">
      <w:pgSz w:w="11906" w:h="16838"/>
      <w:pgMar w:top="879" w:right="992" w:bottom="879" w:left="9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ind w:firstLine="255"/>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line="259" w:lineRule="auto"/>
      <w:ind w:firstLine="0"/>
      <w:jc w:val="left"/>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100" w:after="80" w:line="259" w:lineRule="auto"/>
      <w:ind w:firstLine="0"/>
      <w:jc w:val="left"/>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59" w:lineRule="auto"/>
      <w:ind w:firstLine="0"/>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ge">
    <w:name w:val="Stage"/>
    <w:basedOn w:val="Normal"/>
    <w:pPr>
      <w:spacing w:before="100" w:after="20"/>
      <w:ind w:firstLine="0"/>
    </w:pPr>
    <w:rPr>
      <w:rFonts w:ascii="Times New Roman" w:hAnsi="Times New Roman"/>
      <w:b/>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7. Sınıf Türkçe 5. Hafta Günlük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