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ALTINCI SINIF VELI TOPLANTISI TUTANAĞI 2026 2027 İKINCI ÖRNEK</w:t>
      </w:r>
    </w:p>
    <w:p>
      <w:pPr>
        <w:spacing w:after="200"/>
        <w:jc w:val="center"/>
      </w:pPr>
      <w:r>
        <w:rPr>
          <w:rFonts w:ascii="Times New Roman" w:hAnsi="Times New Roman" w:cs="Times New Roman"/>
          <w:b/>
          <w:sz w:val="22"/>
        </w:rPr>
        <w:t>Akademik Takip ve Okuma Becerisi</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akademik takip, okuma-anlama ve araştırma becerilerinin geliştirilmesi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Altıncı Sınıfa Uyum ve Sınıf Düzeni</w:t>
      </w:r>
    </w:p>
    <w:p>
      <w:pPr>
        <w:spacing w:after="20" w:line="240" w:lineRule="auto"/>
        <w:ind w:left="142" w:hanging="142"/>
      </w:pPr>
      <w:r>
        <w:rPr>
          <w:rFonts w:ascii="Times New Roman" w:hAnsi="Times New Roman" w:cs="Times New Roman"/>
          <w:b w:val="0"/>
          <w:sz w:val="20"/>
        </w:rPr>
        <w:t>3. Ders Kitabı ve Yardımcı Kaynak Kullanımı</w:t>
      </w:r>
    </w:p>
    <w:p>
      <w:pPr>
        <w:spacing w:after="20" w:line="240" w:lineRule="auto"/>
        <w:ind w:left="142" w:hanging="142"/>
      </w:pPr>
      <w:r>
        <w:rPr>
          <w:rFonts w:ascii="Times New Roman" w:hAnsi="Times New Roman" w:cs="Times New Roman"/>
          <w:b w:val="0"/>
          <w:sz w:val="20"/>
        </w:rPr>
        <w:t>4. Okuma Anlama ve Söz Varlığı</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Altıncı Sınıfa Uyum ve Sınıf Düzeni</w:t>
      </w:r>
    </w:p>
    <w:p>
      <w:pPr>
        <w:spacing w:before="0" w:after="100" w:line="276" w:lineRule="auto"/>
        <w:ind w:firstLine="425"/>
      </w:pPr>
      <w:r>
        <w:rPr>
          <w:rFonts w:ascii="Times New Roman" w:hAnsi="Times New Roman" w:cs="Times New Roman"/>
          <w:b w:val="0"/>
          <w:sz w:val="22"/>
        </w:rPr>
        <w:t>Altıncı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Ders Kitabı ve Yardımcı Kaynak Kullanımı</w:t>
      </w:r>
    </w:p>
    <w:p>
      <w:pPr>
        <w:spacing w:before="0" w:after="100" w:line="276" w:lineRule="auto"/>
        <w:ind w:firstLine="425"/>
      </w:pPr>
      <w:r>
        <w:rPr>
          <w:rFonts w:ascii="Times New Roman" w:hAnsi="Times New Roman" w:cs="Times New Roman"/>
          <w:b w:val="0"/>
          <w:sz w:val="22"/>
        </w:rPr>
        <w:t>Ders kitabındaki metinlerin dikkatle okunması, etkinliklerin tamamlanması ve gerekli durumlarda öğretmenin önerdiği kaynaklardan yararlanılması gerektiği belirtildi. Kaynak sayısını artırmak yerine düzenli ve amaçlı kullanımın önemi vurgulandı.</w:t>
      </w:r>
    </w:p>
    <w:p>
      <w:pPr>
        <w:keepNext/>
        <w:spacing w:before="160" w:after="80"/>
      </w:pPr>
      <w:r>
        <w:rPr>
          <w:rFonts w:ascii="Times New Roman" w:hAnsi="Times New Roman" w:cs="Times New Roman"/>
          <w:b/>
          <w:sz w:val="22"/>
        </w:rPr>
        <w:t>4. Okuma Anlama ve Söz Varlığı</w:t>
      </w:r>
    </w:p>
    <w:p>
      <w:pPr>
        <w:spacing w:before="0" w:after="100" w:line="276" w:lineRule="auto"/>
        <w:ind w:firstLine="425"/>
      </w:pPr>
      <w:r>
        <w:rPr>
          <w:rFonts w:ascii="Times New Roman" w:hAnsi="Times New Roman" w:cs="Times New Roman"/>
          <w:b w:val="0"/>
          <w:sz w:val="22"/>
        </w:rPr>
        <w:t>Bilgilendirici ve edebî metinlerde ana düşünceyi bulma, çıkarım yapma ve yeni kelimeleri bağlam içinde öğrenme çalışmaları üzerinde durulacağı açıklandı. Günlük okuma zamanının öğrencinin ilgi alanlarına uygun biçimde planlanması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Altıncı sınıfta matematiksel kavramları anlamlandırma, problem çözümünde işlem basamaklarını gerekçelendirme ve farklı çözüm yollarını değerlendirme çalışmalarına önem verileceği belirtildi. Düzenli tekrar yapma alışkanlığının desteklenmesi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Altıncı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