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DOKUZUNCU SINIF VELI TOPLANTISI TUTANAĞI 2026 2027 BIRINCI ÖRNEK</w:t>
      </w:r>
    </w:p>
    <w:p>
      <w:pPr>
        <w:spacing w:after="200"/>
        <w:jc w:val="center"/>
      </w:pPr>
      <w:r>
        <w:rPr>
          <w:rFonts w:ascii="Times New Roman" w:hAnsi="Times New Roman" w:cs="Times New Roman"/>
          <w:b/>
          <w:sz w:val="22"/>
        </w:rPr>
        <w:t>Liseye Uyum ve Okul Kültürü</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liseye uyum sağlamaları, okul kültürünü benimsemeleri ve sorumluluklarını düzenli yürütmeleri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Dokuzuncu Sınıfa Uyum ve Sınıf Düzeni</w:t>
      </w:r>
    </w:p>
    <w:p>
      <w:pPr>
        <w:spacing w:after="20" w:line="240" w:lineRule="auto"/>
        <w:ind w:left="142" w:hanging="142"/>
      </w:pPr>
      <w:r>
        <w:rPr>
          <w:rFonts w:ascii="Times New Roman" w:hAnsi="Times New Roman" w:cs="Times New Roman"/>
          <w:b w:val="0"/>
          <w:sz w:val="20"/>
        </w:rPr>
        <w:t>3. Lise Düzenine Uyum</w:t>
      </w:r>
    </w:p>
    <w:p>
      <w:pPr>
        <w:spacing w:after="20" w:line="240" w:lineRule="auto"/>
        <w:ind w:left="142" w:hanging="142"/>
      </w:pPr>
      <w:r>
        <w:rPr>
          <w:rFonts w:ascii="Times New Roman" w:hAnsi="Times New Roman" w:cs="Times New Roman"/>
          <w:b w:val="0"/>
          <w:sz w:val="20"/>
        </w:rPr>
        <w:t>4. Kulüp Etkinlik ve Sosyal Katılım</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Dokuzuncu Sınıfa Uyum ve Sınıf Düzeni</w:t>
      </w:r>
    </w:p>
    <w:p>
      <w:pPr>
        <w:spacing w:before="0" w:after="100" w:line="276" w:lineRule="auto"/>
        <w:ind w:firstLine="425"/>
      </w:pPr>
      <w:r>
        <w:rPr>
          <w:rFonts w:ascii="Times New Roman" w:hAnsi="Times New Roman" w:cs="Times New Roman"/>
          <w:b w:val="0"/>
          <w:sz w:val="22"/>
        </w:rPr>
        <w:t>Dokuzuncu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Lise Düzenine Uyum</w:t>
      </w:r>
    </w:p>
    <w:p>
      <w:pPr>
        <w:spacing w:before="0" w:after="100" w:line="276" w:lineRule="auto"/>
        <w:ind w:firstLine="425"/>
      </w:pPr>
      <w:r>
        <w:rPr>
          <w:rFonts w:ascii="Times New Roman" w:hAnsi="Times New Roman" w:cs="Times New Roman"/>
          <w:b w:val="0"/>
          <w:sz w:val="22"/>
        </w:rPr>
        <w:t>Ders sayısı, öğretmenler ve öğrenme ortamındaki değişimin öğrenciler için uyum gerektirdiği açıklandı. Devam, ders araç gereçleri, sınıf kuralları ve okulun işleyişi konusunda öğrencinin aktif sorumluluk alması kararlaştırıldı.</w:t>
      </w:r>
    </w:p>
    <w:p>
      <w:pPr>
        <w:keepNext/>
        <w:spacing w:before="160" w:after="80"/>
      </w:pPr>
      <w:r>
        <w:rPr>
          <w:rFonts w:ascii="Times New Roman" w:hAnsi="Times New Roman" w:cs="Times New Roman"/>
          <w:b/>
          <w:sz w:val="22"/>
        </w:rPr>
        <w:t>4. Kulüp Etkinlik ve Sosyal Katılım</w:t>
      </w:r>
    </w:p>
    <w:p>
      <w:pPr>
        <w:spacing w:before="0" w:after="100" w:line="276" w:lineRule="auto"/>
        <w:ind w:firstLine="425"/>
      </w:pPr>
      <w:r>
        <w:rPr>
          <w:rFonts w:ascii="Times New Roman" w:hAnsi="Times New Roman" w:cs="Times New Roman"/>
          <w:b w:val="0"/>
          <w:sz w:val="22"/>
        </w:rPr>
        <w:t>Öğrencilerin ilgi alanlarına uygun sosyal, kültürel ve sportif çalışmalara katılmasının aidiyet duygusunu ve iletişim becerilerini desteklediği belirtildi. Akademik çalışmalar ile sosyal etkinlikler arasında dengeli bir program yapılması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Dokuzuncu sınıfta derslerde temel kavramların sağlam kurulmasının, eksiklerin zamanında belirlenmesinin ve düzenli tekrarın akademik gelişim için gerekli olduğu belirtildi. Öğrencinin anlamadığı konuları ders öğretmenine sorması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Dokuzuncu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