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 BIRINCI SINIF VELI TOPLANTISI TUTANAĞI 2026 2027 BIRINCI ÖRNEK</w:t>
      </w:r>
    </w:p>
    <w:p>
      <w:pPr>
        <w:spacing w:after="200"/>
        <w:jc w:val="center"/>
      </w:pPr>
      <w:r>
        <w:rPr>
          <w:rFonts w:ascii="Times New Roman" w:hAnsi="Times New Roman" w:cs="Times New Roman"/>
          <w:b/>
          <w:sz w:val="22"/>
        </w:rPr>
        <w:t>Kariyer Farkındalığı ve Eğitim Yönelimi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ilgi ve yeteneklerini tanımaları, eğitim yönelimlerini bilinçli değerlendirmeleri ve okul aile iş birliğinin sürdürülmesi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 Birinci Sınıfa Uyum ve Sınıf Düzeni</w:t>
      </w:r>
    </w:p>
    <w:p>
      <w:pPr>
        <w:spacing w:after="20" w:line="240" w:lineRule="auto"/>
        <w:ind w:left="142" w:hanging="142"/>
      </w:pPr>
      <w:r>
        <w:rPr>
          <w:rFonts w:ascii="Times New Roman" w:hAnsi="Times New Roman" w:cs="Times New Roman"/>
          <w:b w:val="0"/>
          <w:sz w:val="20"/>
        </w:rPr>
        <w:t>3. İlgi Alanları ve Mesleki Farkındalık</w:t>
      </w:r>
    </w:p>
    <w:p>
      <w:pPr>
        <w:spacing w:after="20" w:line="240" w:lineRule="auto"/>
        <w:ind w:left="142" w:hanging="142"/>
      </w:pPr>
      <w:r>
        <w:rPr>
          <w:rFonts w:ascii="Times New Roman" w:hAnsi="Times New Roman" w:cs="Times New Roman"/>
          <w:b w:val="0"/>
          <w:sz w:val="20"/>
        </w:rPr>
        <w:t>4. Hedef Belirleme ve Araştırma Becerisi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 Birinci Sınıfa Uyum ve Sınıf Düzeni</w:t>
      </w:r>
    </w:p>
    <w:p>
      <w:pPr>
        <w:spacing w:before="0" w:after="100" w:line="276" w:lineRule="auto"/>
        <w:ind w:firstLine="425"/>
      </w:pPr>
      <w:r>
        <w:rPr>
          <w:rFonts w:ascii="Times New Roman" w:hAnsi="Times New Roman" w:cs="Times New Roman"/>
          <w:b w:val="0"/>
          <w:sz w:val="22"/>
        </w:rPr>
        <w:t>On birinci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İlgi Alanları ve Mesleki Farkındalık</w:t>
      </w:r>
    </w:p>
    <w:p>
      <w:pPr>
        <w:spacing w:before="0" w:after="100" w:line="276" w:lineRule="auto"/>
        <w:ind w:firstLine="425"/>
      </w:pPr>
      <w:r>
        <w:rPr>
          <w:rFonts w:ascii="Times New Roman" w:hAnsi="Times New Roman" w:cs="Times New Roman"/>
          <w:b w:val="0"/>
          <w:sz w:val="22"/>
        </w:rPr>
        <w:t>Öğrencinin kendine uygun alanları tanımasının yalnız sınav sonucu ile değil; ilgi, beceri, değer ve çalışma alışkanlıklarının birlikte değerlendirilmesiyle mümkün olduğu açıklandı. Ailelerin öğrenciyi başka kişilerle kıyaslamadan dinlemesi ve rehberlik hizmetlerinden yararlanması görüşüldü.</w:t>
      </w:r>
    </w:p>
    <w:p>
      <w:pPr>
        <w:keepNext/>
        <w:spacing w:before="160" w:after="80"/>
      </w:pPr>
      <w:r>
        <w:rPr>
          <w:rFonts w:ascii="Times New Roman" w:hAnsi="Times New Roman" w:cs="Times New Roman"/>
          <w:b/>
          <w:sz w:val="22"/>
        </w:rPr>
        <w:t>4. Hedef Belirleme ve Araştırma Becerisi</w:t>
      </w:r>
    </w:p>
    <w:p>
      <w:pPr>
        <w:spacing w:before="0" w:after="100" w:line="276" w:lineRule="auto"/>
        <w:ind w:firstLine="425"/>
      </w:pPr>
      <w:r>
        <w:rPr>
          <w:rFonts w:ascii="Times New Roman" w:hAnsi="Times New Roman" w:cs="Times New Roman"/>
          <w:b w:val="0"/>
          <w:sz w:val="22"/>
        </w:rPr>
        <w:t>Kısa ve uzun vadeli hedeflerin somut, ulaşılabilir ve gerektiğinde güncellenebilir biçimde belirlenmesinin önemi üzerinde duruldu. Öğrencinin eğitim ve meslek seçenekleri hakkında güvenilir kaynaklardan bilgi toplaması, karar sürecinde acele etmemesi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 birinci sınıfta konuların birbirini tamamladığı, ders içi katılım ile düzenli tekrarın öğrenme sürecini güçlendirdiği belirtildi. Öğrencinin eksiklerini biriktirmeden belirlemesi ve ders öğretmeninin yönlendirmesinden yararlanması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Birinci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