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BIRINCI SINIF VELI TOPLANTISI TUTANAĞI 2026 2027 ÜÇÜNCÜ ÖRNEK</w:t>
      </w:r>
    </w:p>
    <w:p>
      <w:pPr>
        <w:spacing w:after="200"/>
        <w:jc w:val="center"/>
      </w:pPr>
      <w:r>
        <w:rPr>
          <w:rFonts w:ascii="Times New Roman" w:hAnsi="Times New Roman" w:cs="Times New Roman"/>
          <w:b/>
          <w:sz w:val="22"/>
        </w:rPr>
        <w:t>Sınav Sürecinde Denge ve Psikolojik İyi Oluş</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sınav hazırlığı sürecini dengeli yürütmeleri, sağlıklı iletişim kurmaları ve psikolojik iyi oluşlarını desteklemeleri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Birinci Sınıfa Uyum ve Sınıf Düzeni</w:t>
      </w:r>
    </w:p>
    <w:p>
      <w:pPr>
        <w:spacing w:after="20" w:line="240" w:lineRule="auto"/>
        <w:ind w:left="142" w:hanging="142"/>
      </w:pPr>
      <w:r>
        <w:rPr>
          <w:rFonts w:ascii="Times New Roman" w:hAnsi="Times New Roman" w:cs="Times New Roman"/>
          <w:b w:val="0"/>
          <w:sz w:val="20"/>
        </w:rPr>
        <w:t>3. Sınav Kaygısı ile Sağlıklı Baş Etme</w:t>
      </w:r>
    </w:p>
    <w:p>
      <w:pPr>
        <w:spacing w:after="20" w:line="240" w:lineRule="auto"/>
        <w:ind w:left="142" w:hanging="142"/>
      </w:pPr>
      <w:r>
        <w:rPr>
          <w:rFonts w:ascii="Times New Roman" w:hAnsi="Times New Roman" w:cs="Times New Roman"/>
          <w:b w:val="0"/>
          <w:sz w:val="20"/>
        </w:rPr>
        <w:t>4. Aile İçi İletişim ve Beklentilerin Dengelenmesi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Birinci Sınıfa Uyum ve Sınıf Düzeni</w:t>
      </w:r>
    </w:p>
    <w:p>
      <w:pPr>
        <w:spacing w:before="0" w:after="100" w:line="276" w:lineRule="auto"/>
        <w:ind w:firstLine="425"/>
      </w:pPr>
      <w:r>
        <w:rPr>
          <w:rFonts w:ascii="Times New Roman" w:hAnsi="Times New Roman" w:cs="Times New Roman"/>
          <w:b w:val="0"/>
          <w:sz w:val="22"/>
        </w:rPr>
        <w:t>On birinci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Sınav Kaygısı ile Sağlıklı Baş Etme</w:t>
      </w:r>
    </w:p>
    <w:p>
      <w:pPr>
        <w:spacing w:before="0" w:after="100" w:line="276" w:lineRule="auto"/>
        <w:ind w:firstLine="425"/>
      </w:pPr>
      <w:r>
        <w:rPr>
          <w:rFonts w:ascii="Times New Roman" w:hAnsi="Times New Roman" w:cs="Times New Roman"/>
          <w:b w:val="0"/>
          <w:sz w:val="22"/>
        </w:rPr>
        <w:t>Sınavların öğrenme sürecini değerlendiren araçlar olduğu, öğrencinin değerini tek başına belirlemediği açıklandı. Kaygının yoğunlaştığı durumlarda öğrencinin dinlenme, planlama ve destek alma yollarını kullanmasının; gerektiğinde rehberlik hizmetlerine başvurulmasının önemi görüşüldü.</w:t>
      </w:r>
    </w:p>
    <w:p>
      <w:pPr>
        <w:keepNext/>
        <w:spacing w:before="160" w:after="80"/>
      </w:pPr>
      <w:r>
        <w:rPr>
          <w:rFonts w:ascii="Times New Roman" w:hAnsi="Times New Roman" w:cs="Times New Roman"/>
          <w:b/>
          <w:sz w:val="22"/>
        </w:rPr>
        <w:t>4. Aile İçi İletişim ve Beklentilerin Dengelenmesi</w:t>
      </w:r>
    </w:p>
    <w:p>
      <w:pPr>
        <w:spacing w:before="0" w:after="100" w:line="276" w:lineRule="auto"/>
        <w:ind w:firstLine="425"/>
      </w:pPr>
      <w:r>
        <w:rPr>
          <w:rFonts w:ascii="Times New Roman" w:hAnsi="Times New Roman" w:cs="Times New Roman"/>
          <w:b w:val="0"/>
          <w:sz w:val="22"/>
        </w:rPr>
        <w:t>Ailelerin öğrencinin çabasını fark eden, açık ve yargılamayan bir iletişim dili kullanmasının öğrenme motivasyonunu desteklediği belirtildi. Gerçekçi beklentiler oluşturulması, öğrencinin güçlü yönlerinin görünür kılınması ve günlük yaşam düzeninin korunması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birinci sınıfta konuların birbirini tamamladığı, ders içi katılım ile düzenli tekrarın öğrenme sürecini güçlendirdiği belirtildi. Öğrencinin eksiklerini biriktirmeden belirlemesi ve ders öğretmeninin yönlendirmesinden yararlanması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Birinci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