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ON İKINCI SINIF VELI TOPLANTISI TUTANAĞI 2026 2027 BIRINCI ÖRNEK</w:t>
      </w:r>
    </w:p>
    <w:p>
      <w:pPr>
        <w:spacing w:after="200"/>
        <w:jc w:val="center"/>
      </w:pPr>
      <w:r>
        <w:rPr>
          <w:rFonts w:ascii="Times New Roman" w:hAnsi="Times New Roman" w:cs="Times New Roman"/>
          <w:b/>
          <w:sz w:val="22"/>
        </w:rPr>
        <w:t>Yükseköğretime Geçiş ve Gelecek Planı</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yükseköğretime geçiş sürecini bilinçli planlamaları, seçeneklerini araştırmaları ve okul aile iş birliğinin sürdürülmesi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On İkinci Sınıfa Uyum ve Sınıf Düzeni</w:t>
      </w:r>
    </w:p>
    <w:p>
      <w:pPr>
        <w:spacing w:after="20" w:line="240" w:lineRule="auto"/>
        <w:ind w:left="142" w:hanging="142"/>
      </w:pPr>
      <w:r>
        <w:rPr>
          <w:rFonts w:ascii="Times New Roman" w:hAnsi="Times New Roman" w:cs="Times New Roman"/>
          <w:b w:val="0"/>
          <w:sz w:val="20"/>
        </w:rPr>
        <w:t>3. Yükseköğretim ve Meslek Seçeneklerinin Araştırılması</w:t>
      </w:r>
    </w:p>
    <w:p>
      <w:pPr>
        <w:spacing w:after="20" w:line="240" w:lineRule="auto"/>
        <w:ind w:left="142" w:hanging="142"/>
      </w:pPr>
      <w:r>
        <w:rPr>
          <w:rFonts w:ascii="Times New Roman" w:hAnsi="Times New Roman" w:cs="Times New Roman"/>
          <w:b w:val="0"/>
          <w:sz w:val="20"/>
        </w:rPr>
        <w:t>4. Takvim, Başvuru ve Duyuruların Takibi</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On İkinci Sınıfa Uyum ve Sınıf Düzeni</w:t>
      </w:r>
    </w:p>
    <w:p>
      <w:pPr>
        <w:spacing w:before="0" w:after="100" w:line="276" w:lineRule="auto"/>
        <w:ind w:firstLine="425"/>
      </w:pPr>
      <w:r>
        <w:rPr>
          <w:rFonts w:ascii="Times New Roman" w:hAnsi="Times New Roman" w:cs="Times New Roman"/>
          <w:b w:val="0"/>
          <w:sz w:val="22"/>
        </w:rPr>
        <w:t>On 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Yükseköğretim ve Meslek Seçeneklerinin Araştırılması</w:t>
      </w:r>
    </w:p>
    <w:p>
      <w:pPr>
        <w:spacing w:before="0" w:after="100" w:line="276" w:lineRule="auto"/>
        <w:ind w:firstLine="425"/>
      </w:pPr>
      <w:r>
        <w:rPr>
          <w:rFonts w:ascii="Times New Roman" w:hAnsi="Times New Roman" w:cs="Times New Roman"/>
          <w:b w:val="0"/>
          <w:sz w:val="22"/>
        </w:rPr>
        <w:t>Öğrencinin ilgi, beceri, değer ve yaşam hedeflerine uygun seçenekleri güvenilir kaynaklardan incelemesinin önemi açıklandı. Tercih ve yönelim sürecinde tek bir sonuca odaklanmak yerine alternatifleri değerlendirmek, rehberlik hizmetlerinden destek almak görüşüldü.</w:t>
      </w:r>
    </w:p>
    <w:p>
      <w:pPr>
        <w:keepNext/>
        <w:spacing w:before="160" w:after="80"/>
      </w:pPr>
      <w:r>
        <w:rPr>
          <w:rFonts w:ascii="Times New Roman" w:hAnsi="Times New Roman" w:cs="Times New Roman"/>
          <w:b/>
          <w:sz w:val="22"/>
        </w:rPr>
        <w:t>4. Takvim, Başvuru ve Duyuruların Takibi</w:t>
      </w:r>
    </w:p>
    <w:p>
      <w:pPr>
        <w:spacing w:before="0" w:after="100" w:line="276" w:lineRule="auto"/>
        <w:ind w:firstLine="425"/>
      </w:pPr>
      <w:r>
        <w:rPr>
          <w:rFonts w:ascii="Times New Roman" w:hAnsi="Times New Roman" w:cs="Times New Roman"/>
          <w:b w:val="0"/>
          <w:sz w:val="22"/>
        </w:rPr>
        <w:t>Sınav, başvuru ve tercih dönemlerine ilişkin resmî duyuruların zamanında takip edilmesi gerektiği belirtildi. Öğrencinin kişisel takvim oluşturması, belge ve işlem gereksinimlerini son güne bırakmaması, tereddüt edilen konularda okul rehberlik servisiyle görüşmesi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On ikinci sınıfta derslerin düzenli biçimde tekrar edilmesinin, eksik konuların belirlenmesinin ve gerektiğinde öğretmen desteği alınmasının önemli olduğu belirtildi. Öğrencinin kendi öğrenme hızına uygun, sürdürülebilir bir çalışma düzeni kurması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İkinci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