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 İKINCI SINIF VELI TOPLANTISI TUTANAĞI 2026 2027 İKINCI ÖRNEK</w:t>
      </w:r>
    </w:p>
    <w:p>
      <w:pPr>
        <w:spacing w:after="200"/>
        <w:jc w:val="center"/>
      </w:pPr>
      <w:r>
        <w:rPr>
          <w:rFonts w:ascii="Times New Roman" w:hAnsi="Times New Roman" w:cs="Times New Roman"/>
          <w:b/>
          <w:sz w:val="22"/>
        </w:rPr>
        <w:t>Sürdürülebilir Sınav Hazırlığı ve Öğrenme Takibi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sınav hazırlığını dengeli yürütmeleri, öğrenme süreçlerini değerlendirmeleri ve düzenli çalışma alışkanlıklarını korumaları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 İkinci Sınıfa Uyum ve Sınıf Düzeni</w:t>
      </w:r>
    </w:p>
    <w:p>
      <w:pPr>
        <w:spacing w:after="20" w:line="240" w:lineRule="auto"/>
        <w:ind w:left="142" w:hanging="142"/>
      </w:pPr>
      <w:r>
        <w:rPr>
          <w:rFonts w:ascii="Times New Roman" w:hAnsi="Times New Roman" w:cs="Times New Roman"/>
          <w:b w:val="0"/>
          <w:sz w:val="20"/>
        </w:rPr>
        <w:t>3. Çalışma Planının Güncellenmesi</w:t>
      </w:r>
    </w:p>
    <w:p>
      <w:pPr>
        <w:spacing w:after="20" w:line="240" w:lineRule="auto"/>
        <w:ind w:left="142" w:hanging="142"/>
      </w:pPr>
      <w:r>
        <w:rPr>
          <w:rFonts w:ascii="Times New Roman" w:hAnsi="Times New Roman" w:cs="Times New Roman"/>
          <w:b w:val="0"/>
          <w:sz w:val="20"/>
        </w:rPr>
        <w:t>4. Deneme Sonuçlarının Değerlendirilmesi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 İkinci Sınıfa Uyum ve Sınıf Düzeni</w:t>
      </w:r>
    </w:p>
    <w:p>
      <w:pPr>
        <w:spacing w:before="0" w:after="100" w:line="276" w:lineRule="auto"/>
        <w:ind w:firstLine="425"/>
      </w:pPr>
      <w:r>
        <w:rPr>
          <w:rFonts w:ascii="Times New Roman" w:hAnsi="Times New Roman" w:cs="Times New Roman"/>
          <w:b w:val="0"/>
          <w:sz w:val="22"/>
        </w:rPr>
        <w:t>On ikinci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Çalışma Planının Güncellenmesi</w:t>
      </w:r>
    </w:p>
    <w:p>
      <w:pPr>
        <w:spacing w:before="0" w:after="100" w:line="276" w:lineRule="auto"/>
        <w:ind w:firstLine="425"/>
      </w:pPr>
      <w:r>
        <w:rPr>
          <w:rFonts w:ascii="Times New Roman" w:hAnsi="Times New Roman" w:cs="Times New Roman"/>
          <w:b w:val="0"/>
          <w:sz w:val="22"/>
        </w:rPr>
        <w:t>Çalışma planının öğrencinin mevcut düzeyi, ders ihtiyaçları ve dinlenme gereksinimi dikkate alınarak düzenlenmesi gerektiği açıklandı. Uygulanamayan planlar için öğrencinin kendini suçlaması yerine hedefleri küçük adımlara ayırması ve planını gözden geçirmesi görüşüldü.</w:t>
      </w:r>
    </w:p>
    <w:p>
      <w:pPr>
        <w:keepNext/>
        <w:spacing w:before="160" w:after="80"/>
      </w:pPr>
      <w:r>
        <w:rPr>
          <w:rFonts w:ascii="Times New Roman" w:hAnsi="Times New Roman" w:cs="Times New Roman"/>
          <w:b/>
          <w:sz w:val="22"/>
        </w:rPr>
        <w:t>4. Deneme Sonuçlarının Değerlendirilmesi</w:t>
      </w:r>
    </w:p>
    <w:p>
      <w:pPr>
        <w:spacing w:before="0" w:after="100" w:line="276" w:lineRule="auto"/>
        <w:ind w:firstLine="425"/>
      </w:pPr>
      <w:r>
        <w:rPr>
          <w:rFonts w:ascii="Times New Roman" w:hAnsi="Times New Roman" w:cs="Times New Roman"/>
          <w:b w:val="0"/>
          <w:sz w:val="22"/>
        </w:rPr>
        <w:t>Deneme ve değerlendirme çalışmalarının yalnız puan karşılaştırması amacıyla değil, öğrenme eksiklerini ve gelişimi görmek için kullanılacağı belirtildi. Yanlışların konu, soru kökü ve zaman yönetimi bakımından incelenmesi; ihtiyaç halinde ders öğretmeninden geribildirim alınması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 ikinci sınıfta derslerin düzenli biçimde tekrar edilmesinin, eksik konuların belirlenmesinin ve gerektiğinde öğretmen desteği alınmasının önemli olduğu belirtildi. Öğrencinin kendi öğrenme hızına uygun, sürdürülebilir bir çalışma düzeni kurması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İkinci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