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SEKIZINCI SINIF VELI TOPLANTISI TUTANAĞI 2026 2027 ÜÇÜNCÜ ÖRNEK</w:t>
      </w:r>
    </w:p>
    <w:p>
      <w:pPr>
        <w:spacing w:after="200"/>
        <w:jc w:val="center"/>
      </w:pPr>
      <w:r>
        <w:rPr>
          <w:rFonts w:ascii="Times New Roman" w:hAnsi="Times New Roman" w:cs="Times New Roman"/>
          <w:b/>
          <w:sz w:val="22"/>
        </w:rPr>
        <w:t>Dijital Denge ve Psikolojik Dayanıklılık</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dijital denge, psikolojik dayanıklılık ve sağlıklı iletişim becerilerinin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Sekizinci Sınıfa Uyum ve Sınıf Düzeni</w:t>
      </w:r>
    </w:p>
    <w:p>
      <w:pPr>
        <w:spacing w:after="20" w:line="240" w:lineRule="auto"/>
        <w:ind w:left="142" w:hanging="142"/>
      </w:pPr>
      <w:r>
        <w:rPr>
          <w:rFonts w:ascii="Times New Roman" w:hAnsi="Times New Roman" w:cs="Times New Roman"/>
          <w:b w:val="0"/>
          <w:sz w:val="20"/>
        </w:rPr>
        <w:t>3. Sosyal Medya ve Odaklanma</w:t>
      </w:r>
    </w:p>
    <w:p>
      <w:pPr>
        <w:spacing w:after="20" w:line="240" w:lineRule="auto"/>
        <w:ind w:left="142" w:hanging="142"/>
      </w:pPr>
      <w:r>
        <w:rPr>
          <w:rFonts w:ascii="Times New Roman" w:hAnsi="Times New Roman" w:cs="Times New Roman"/>
          <w:b w:val="0"/>
          <w:sz w:val="20"/>
        </w:rPr>
        <w:t>4. Destek İsteme ve Dayanıklılık</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Sekizinci Sınıfa Uyum ve Sınıf Düzeni</w:t>
      </w:r>
    </w:p>
    <w:p>
      <w:pPr>
        <w:spacing w:before="0" w:after="100" w:line="276" w:lineRule="auto"/>
        <w:ind w:firstLine="425"/>
      </w:pPr>
      <w:r>
        <w:rPr>
          <w:rFonts w:ascii="Times New Roman" w:hAnsi="Times New Roman" w:cs="Times New Roman"/>
          <w:b w:val="0"/>
          <w:sz w:val="22"/>
        </w:rPr>
        <w:t>Sekizinci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Sosyal Medya ve Odaklanma</w:t>
      </w:r>
    </w:p>
    <w:p>
      <w:pPr>
        <w:spacing w:before="0" w:after="100" w:line="276" w:lineRule="auto"/>
        <w:ind w:firstLine="425"/>
      </w:pPr>
      <w:r>
        <w:rPr>
          <w:rFonts w:ascii="Times New Roman" w:hAnsi="Times New Roman" w:cs="Times New Roman"/>
          <w:b w:val="0"/>
          <w:sz w:val="22"/>
        </w:rPr>
        <w:t>Sosyal medya ve oyun kullanımının ders çalışma, uyku ve aile içi iletişim üzerindeki etkilerinin birlikte değerlendirilmesi gerektiği belirtildi. Cihaz kullanımına yönelik kuralların cezalandırıcı değil, açık ve tutarlı biçimde uygulanması kararlaştırıldı.</w:t>
      </w:r>
    </w:p>
    <w:p>
      <w:pPr>
        <w:keepNext/>
        <w:spacing w:before="160" w:after="80"/>
      </w:pPr>
      <w:r>
        <w:rPr>
          <w:rFonts w:ascii="Times New Roman" w:hAnsi="Times New Roman" w:cs="Times New Roman"/>
          <w:b/>
          <w:sz w:val="22"/>
        </w:rPr>
        <w:t>4. Destek İsteme ve Dayanıklılık</w:t>
      </w:r>
    </w:p>
    <w:p>
      <w:pPr>
        <w:spacing w:before="0" w:after="100" w:line="276" w:lineRule="auto"/>
        <w:ind w:firstLine="425"/>
      </w:pPr>
      <w:r>
        <w:rPr>
          <w:rFonts w:ascii="Times New Roman" w:hAnsi="Times New Roman" w:cs="Times New Roman"/>
          <w:b w:val="0"/>
          <w:sz w:val="22"/>
        </w:rPr>
        <w:t>Zorluk, başarısızlık veya kaygı yaşandığında öğrencinin duygusunu paylaşmasının ve destek istemesinin güçsüzlük değil sorumluluk olduğu açıklandı. Süreğen kaygı, uyum veya davranış güçlüklerinde rehberlik hizmetleriyle iş birliği yapılması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Sekizinci sınıfta soru çözümünde yalnız sayıya odaklanmak yerine kavramları anlamlandırma, yanlışların nedenini inceleme ve eksik öğrenmeleri düzenli tekrarlarla tamamlama çalışmalarına önem verileceği belirtildi.</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Sekizinci Sınıf Veli Toplantısı Tutanağı 2026 2027 Üçüncü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