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İlkokulu Müdürlüğü</w:t>
      </w:r>
    </w:p>
    <w:p>
      <w:pPr>
        <w:pStyle w:val="Title"/>
      </w:pPr>
      <w:r>
        <w:t>2026–2027 Eğitim Öğretim Yılı</w:t>
        <w:br/>
        <w:t>Anasınıfı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Katılım İlkelerinin Belirlenmesi</w:t>
      </w:r>
    </w:p>
    <w:p>
      <w:pPr>
        <w:pStyle w:val="Agenda"/>
        <w:numPr>
          <w:ilvl w:val="0"/>
          <w:numId w:val="90"/>
        </w:numPr>
      </w:pPr>
      <w:r>
        <w:t>Türkiye Yüzyılı Maarif Modeli’nde Farklılaştırmanın Görüşülmesi</w:t>
      </w:r>
    </w:p>
    <w:p>
      <w:pPr>
        <w:pStyle w:val="Agenda"/>
        <w:numPr>
          <w:ilvl w:val="0"/>
          <w:numId w:val="90"/>
        </w:numPr>
      </w:pPr>
      <w:r>
        <w:t>Başlangıç Gözlemleri ve Aileden Bilgi Alma Sürecinin Planlanması</w:t>
      </w:r>
    </w:p>
    <w:p>
      <w:pPr>
        <w:pStyle w:val="Agenda"/>
        <w:numPr>
          <w:ilvl w:val="0"/>
          <w:numId w:val="90"/>
        </w:numPr>
      </w:pPr>
      <w:r>
        <w:t>Erişilebilir Sınıf ve Öğrenme Merkezlerinin Düzenlenmesi</w:t>
      </w:r>
    </w:p>
    <w:p>
      <w:pPr>
        <w:pStyle w:val="Agenda"/>
        <w:numPr>
          <w:ilvl w:val="0"/>
          <w:numId w:val="90"/>
        </w:numPr>
      </w:pPr>
      <w:r>
        <w:t>İletişim ve Akran Oyununa Katılım Desteğinin Görüşülmesi</w:t>
      </w:r>
    </w:p>
    <w:p>
      <w:pPr>
        <w:pStyle w:val="Agenda"/>
        <w:numPr>
          <w:ilvl w:val="0"/>
          <w:numId w:val="90"/>
        </w:numPr>
      </w:pPr>
      <w:r>
        <w:t>Hareket, Öz Bakım ve Duyusal Gereksinimlerin Planlanması</w:t>
      </w:r>
    </w:p>
    <w:p>
      <w:pPr>
        <w:pStyle w:val="Agenda"/>
        <w:numPr>
          <w:ilvl w:val="0"/>
          <w:numId w:val="90"/>
        </w:numPr>
      </w:pPr>
      <w:r>
        <w:t>Dil, Erken Okuryazarlık ve Matematik Desteğinin Düzenlenmesi</w:t>
      </w:r>
    </w:p>
    <w:p>
      <w:pPr>
        <w:pStyle w:val="Agenda"/>
        <w:numPr>
          <w:ilvl w:val="0"/>
          <w:numId w:val="90"/>
        </w:numPr>
      </w:pPr>
      <w:r>
        <w:t>Sanat, Müzik ve Fen Çalışmalarında Seçenek Sunulması</w:t>
      </w:r>
    </w:p>
    <w:p>
      <w:pPr>
        <w:pStyle w:val="Agenda"/>
        <w:numPr>
          <w:ilvl w:val="0"/>
          <w:numId w:val="90"/>
        </w:numPr>
      </w:pPr>
      <w:r>
        <w:t>Geri Bildirim ve Öğrenme Kanıtlarının Düzenlenmesi</w:t>
      </w:r>
    </w:p>
    <w:p>
      <w:pPr>
        <w:pStyle w:val="Agenda"/>
        <w:numPr>
          <w:ilvl w:val="0"/>
          <w:numId w:val="90"/>
        </w:numPr>
      </w:pPr>
      <w:r>
        <w:t>BEP ve Kurum İçi Destek Süreçlerinin Görüşülmesi</w:t>
      </w:r>
    </w:p>
    <w:p>
      <w:pPr>
        <w:pStyle w:val="Agenda"/>
        <w:numPr>
          <w:ilvl w:val="0"/>
          <w:numId w:val="90"/>
        </w:numPr>
      </w:pPr>
      <w:r>
        <w:t>Aile Katılımı ve İlkokula Geçişin Planlanması</w:t>
      </w:r>
    </w:p>
    <w:p>
      <w:pPr>
        <w:pStyle w:val="Agenda"/>
        <w:numPr>
          <w:ilvl w:val="0"/>
          <w:numId w:val="90"/>
        </w:numPr>
      </w:pPr>
      <w:r>
        <w:t>Sonuçların Karara Bağlanması ve Toplantının Kapatılması</w:t>
      </w:r>
    </w:p>
    <w:p>
      <w:pPr>
        <w:pStyle w:val="Heading1"/>
        <w:pageBreakBefore/>
      </w:pPr>
      <w:r>
        <w:t>Gündem Maddelerinin Görüşülmesi</w:t>
      </w:r>
    </w:p>
    <w:p>
      <w:pPr>
        <w:pStyle w:val="Heading2"/>
      </w:pPr>
      <w:r>
        <w:t>1. Açılışın Yapılması ve Katılım İlkelerinin Belirlenmesi</w:t>
      </w:r>
    </w:p>
    <w:p>
      <w:r>
        <w:t>...................... İlkokulu anasınıfları zümresi, ...................... tarihinde saat ......................’de ...................... başkanlığında toplandı. Üyelerin hazır olduğu görüldü ve yazmanlık görevini ...................... üstlendi. Her çocuğun oyuna, iletişime ve günlük yaşama güvenle katılmasını esas alan gündem okunarak kabul edildi.</w:t>
      </w:r>
    </w:p>
    <w:p>
      <w:r>
        <w:t>Öğretmenler, gelişim farklılıklarının eksiklik etiketi olarak kullanılmaması gerektiğini belirtti. Çocuğun güçlü yönünden hareket edilmesi, desteğin ortak sınıf yaşantısı içinde sunulması ve kişisel bilgilerin genel tutanakta yer almaması kararlaştırıldı.</w:t>
      </w:r>
    </w:p>
    <w:p>
      <w:pPr>
        <w:pStyle w:val="Heading2"/>
      </w:pPr>
      <w:r>
        <w:t>2. Türkiye Yüzyılı Maarif Modeli’nde Farklılaştırmanın Görüşülmesi</w:t>
      </w:r>
    </w:p>
    <w:p>
      <w:r>
        <w:t>Okul Öncesi Eğitim Programı’nın bütüncül eğitim, oyun temelli öğrenme ve farklılaştırma yaklaşımı görüşüldü. Alan becerileri ile sosyal-duygusal öğrenme, değer, eğilim ve okuryazarlık bileşenlerinin çocukların doğal yaşantılarında gözlenmesi kararlaştırıldı.</w:t>
      </w:r>
    </w:p>
    <w:p>
      <w:r>
        <w:t>Destekleme ve zenginleştirmenin ayrı bir ders saati değil günlük planın parçası olarak düzenlenmesi kabul edildi. Aynı amaca ulaşmak için konuşma, işaret etme, hareket, resim, nesne ve dramatik oyun gibi farklı katılım yolları sunulması kararlaştırıldı.</w:t>
      </w:r>
    </w:p>
    <w:p>
      <w:pPr>
        <w:pStyle w:val="Heading2"/>
      </w:pPr>
      <w:r>
        <w:t>3. Başlangıç Gözlemleri ve Aileden Bilgi Alma Sürecinin Planlanması</w:t>
      </w:r>
    </w:p>
    <w:p>
      <w:r>
        <w:t>İlk haftalarda çocuğun ayrılma, oyun başlatma, yönerge izleme, iletişim, hareket ve öz bakım davranışlarının doğal ortamda gözlenmesi görüşüldü. Tek bir günde gösterilen davranışın sürekli özellik olarak kaydedilmemesi kararlaştırıldı.</w:t>
      </w:r>
    </w:p>
    <w:p>
      <w:r>
        <w:t>Ailelerden çocuğun ilgi alanı, iletişim biçimi, sağlık ve günlük rutinleri hakkında gerekli bilgilerin alınması kabul edildi. Aileye tanı soruları yöneltilmemesi, alınan belgelerin güvenli tutulması ve gerekli bilgilerin yalnız yetkili kişilerle paylaşılması kararlaştırıldı.</w:t>
      </w:r>
    </w:p>
    <w:p>
      <w:pPr>
        <w:pStyle w:val="Heading2"/>
      </w:pPr>
      <w:r>
        <w:t>4. Erişilebilir Sınıf ve Öğrenme Merkezlerinin Düzenlenmesi</w:t>
      </w:r>
    </w:p>
    <w:p>
      <w:r>
        <w:t>Merkezler arasında geniş ve açık geçiş alanı bırakılması, materyallerin ulaşılabilir yükseklikte ve anlaşılır görsel etiketlerle sunulması görüşüldü. Görsel karmaşanın azaltılması, gerektiğinde sakinleşme ve kısa dinlenme alanı oluşturulması kararlaştırıldı.</w:t>
      </w:r>
    </w:p>
    <w:p>
      <w:r>
        <w:t>İşitme veya görme ihtiyacına göre öğretmenin konumu, ışık ve ses düzeninin değiştirilmesi kabul edildi. Kolay kavranan araç, büyük parça ve farklı dokudaki malzemelerin bulunması; uyarlamanın çocuğu arkadaşlarından ayıran kalıcı bir düzene dönüşmemesi kararlaştırıldı.</w:t>
      </w:r>
    </w:p>
    <w:p>
      <w:pPr>
        <w:pStyle w:val="Heading2"/>
      </w:pPr>
      <w:r>
        <w:t>5. İletişim ve Akran Oyununa Katılım Desteğinin Görüşülmesi</w:t>
      </w:r>
    </w:p>
    <w:p>
      <w:r>
        <w:t>Konuşma başlatmakta veya sıra almakta zorlanan çocuklara resimli seçim kartı, kısa cümle modeli ve oyun rolü verilmesi görüşüldü. Öğretmenin çocuğun her ifadesini tamamlamaması, cevap için yeterli süre tanıması kararlaştırıldı.</w:t>
      </w:r>
    </w:p>
    <w:p>
      <w:r>
        <w:t>Akranların yardım etmeye zorlanmaması, eşleşmelerin dönüşümlü kurulması kabul edildi. Ortak oyun için aynı malzemeden birden fazla bulundurulması, çatışmalarda yetişkinin hemen sonucu söylemek yerine duyguyu adlandırma ve çözüm seçeneklerini düşünme konusunda rehberlik etmesi kararlaştırıldı.</w:t>
      </w:r>
    </w:p>
    <w:p>
      <w:pPr>
        <w:pStyle w:val="Heading2"/>
      </w:pPr>
      <w:r>
        <w:t>6. Hareket, Öz Bakım ve Duyusal Gereksinimlerin Planlanması</w:t>
      </w:r>
    </w:p>
    <w:p>
      <w:r>
        <w:t>Hareket etkinliklerinde aynı hız ve biçimde katılım beklenmemesi görüşüldü. Oturarak, ayakta veya destekli yapılabilecek seçeneklerin sunulması; güvenlik nedeniyle gerekli olmayan yarışmaların azaltılması kararlaştırıldı.</w:t>
      </w:r>
    </w:p>
    <w:p>
      <w:r>
        <w:t>El yıkama, tuvalet, giyinme ve beslenme adımlarının görsellerle sıralanması kabul edildi. Duyusal hassasiyet yaşayan çocukların gürültü, doku veya kokuya tepkisinin davranış sorunu olarak etiketlenmemesi, aile ve ilgili uzman önerileri doğrultusunda güvenli düzenleme yapılması kararlaştırıldı.</w:t>
      </w:r>
    </w:p>
    <w:p>
      <w:pPr>
        <w:pStyle w:val="Heading2"/>
      </w:pPr>
      <w:r>
        <w:t>7. Dil, Erken Okuryazarlık ve Matematik Desteğinin Düzenlenmesi</w:t>
      </w:r>
    </w:p>
    <w:p>
      <w:r>
        <w:t>Hikâyelerin kısa bölümlerle, nesne ve görsellerle desteklenmesi görüşüldü. Çocuğun dinlediğini konuşma dışında sıralama, canlandırma veya resimle göstermesine fırsat verilmesi; ezber cevap beklenmemesi kararlaştırıldı.</w:t>
      </w:r>
    </w:p>
    <w:p>
      <w:r>
        <w:t>Sayma, eşleme ve örüntü çalışmalarında somut materyalden yararlanılması kabul edildi. Yardımın önce model olma, birlikte yapma ve bağımsız deneme sırasıyla sunulması; ilerleyen çocuk için daha fazla aynı soru yerine yeni bir oyun problemi hazırlanması kararlaştırıldı.</w:t>
      </w:r>
    </w:p>
    <w:p>
      <w:pPr>
        <w:pStyle w:val="Heading2"/>
      </w:pPr>
      <w:r>
        <w:t>8. Sanat, Müzik ve Fen Çalışmalarında Seçenek Sunulması</w:t>
      </w:r>
    </w:p>
    <w:p>
      <w:r>
        <w:t>Sanat etkinliğinde tek tip ürün ve çizgi sınırı dayatılmaması, farklı tutuş araçları ile kesme, yapıştırma veya düzenleme seçenekleri sunulması görüşüldü. Çocuğun ürününün yetişkin tarafından düzeltilmemesi kararlaştırıldı.</w:t>
      </w:r>
    </w:p>
    <w:p>
      <w:r>
        <w:t>Müzikte ses düzeyinin hassasiyetlere göre ayarlanması, harekete katılamayan çocuğa ritim veya araç görevi verilmesi kabul edildi. Fen çalışmalarında dokunmak istemeyen çocuk için gözlem aracı sunulması, güvenlik kurallarının kısa ve görünür biçimde açıklanması kararlaştırıldı.</w:t>
      </w:r>
    </w:p>
    <w:p>
      <w:pPr>
        <w:pStyle w:val="Heading2"/>
      </w:pPr>
      <w:r>
        <w:t>9. Geri Bildirim ve Öğrenme Kanıtlarının Düzenlenmesi</w:t>
      </w:r>
    </w:p>
    <w:p>
      <w:r>
        <w:t>Geri bildirimin çocuğun kişiliğine değil yaptığı eyleme yönelmesi görüşüldü. Bir seferde çok sayıda düzeltme yapılmaması, çocuğa öneriyi hemen yeni bir denemede kullanma fırsatı verilmesi kararlaştırıldı.</w:t>
      </w:r>
    </w:p>
    <w:p>
      <w:r>
        <w:t>Anekdot kayıtlarının tarih, ortam ve gözlenen davranışı içermesi kabul edildi. Becerinin farklı zamanlardaki örneklerinin birlikte değerlendirilmesi, gelişim dosyasına çocuğun kendi ürünlerinin konulması ve ilerlemenin başka çocuklarla değil önceki kendi davranışlarıyla karşılaştırılması kararlaştırıldı.</w:t>
      </w:r>
    </w:p>
    <w:p>
      <w:pPr>
        <w:pStyle w:val="Heading2"/>
      </w:pPr>
      <w:r>
        <w:t>10. BEP ve Kurum İçi Destek Süreçlerinin Görüşülmesi</w:t>
      </w:r>
    </w:p>
    <w:p>
      <w:r>
        <w:t>BEP kapsamındaki çocukların amaçlarının ilgili birim kararlarına göre günlük plan içinde ele alınması görüşüldü. Uyarlamaların sınıf öğretmeni, aile, rehberlik ve özel eğitim hizmetleriyle iş birliği içinde yürütülmesi kararlaştırıldı.</w:t>
      </w:r>
    </w:p>
    <w:p>
      <w:r>
        <w:t>Destek gereksinimi fark edilen çocuk hakkında öğretmenin tanı koymaması kabul edildi. Sistemli gözlem, aile görüşmesi ve yönetimin yönlendirme sürecinin izlenmesi; çocuğun durumunun veli grubunda veya diğer ailelerle konuşulmaması kararlaştırıldı.</w:t>
      </w:r>
    </w:p>
    <w:p>
      <w:pPr>
        <w:pStyle w:val="Heading2"/>
        <w:pageBreakBefore/>
      </w:pPr>
      <w:r>
        <w:t>11. Aile Katılımı ve İlkokula Geçişin Planlanması</w:t>
      </w:r>
    </w:p>
    <w:p>
      <w:r>
        <w:t>Ailelere evde uygulanabilecek kısa oyun, sohbet ve günlük yaşam önerileri sunulması görüşüldü. Önerilerin özel araç gereç veya yetişkinin çocuk yerine ürün hazırlamasını gerektirmemesi kararlaştırıldı.</w:t>
      </w:r>
    </w:p>
    <w:p>
      <w:r>
        <w:t>İlkokula geçişte okul binasını, ortak alanları ve temel rutinleri tanıtan çalışmalar yapılması kabul edildi. Çocuğun hazır oluşunun yalnız harf ve sayı bilgisiyle değerlendirilmemesi; öz bakım, iletişim, dikkat, hareket ve sosyal-duygusal becerilerin aileyle somut örnekler üzerinden paylaşılması kararlaştırıldı.</w:t>
      </w:r>
    </w:p>
    <w:p>
      <w:pPr>
        <w:pStyle w:val="Heading2"/>
      </w:pPr>
      <w:r>
        <w:t>12. Sonuçların Karara Bağlanması ve Toplantının Kapatılması</w:t>
      </w:r>
    </w:p>
    <w:p>
      <w:pPr>
        <w:keepNext/>
        <w:keepLines/>
      </w:pPr>
      <w:r>
        <w:t>Zümre başkanı, kullanılan desteklerin çocuğun bağımsız katılımını artırıp artırmadığının aylık değerlendirmelerde gözden geçirilmesini istedi. İşe yarayan görsel, materyal ve rutinlerin çocuk kimliği içermeyen örneklerle paylaşılması, yarar sağlamayan desteğin yeniden düzenlenmesi kararlaştırıldı.</w:t>
      </w:r>
    </w:p>
    <w:p>
      <w:pPr>
        <w:keepNext/>
        <w:keepLines/>
      </w:pPr>
      <w:r>
        <w:t>Gündemdeki bütün hususlar görüşüldü ve kararlar oybirliğiyle kabul edildi. Kararların okul müdürünün onayından sonra uygulanmasına karar verildi. Başka söz alan olmadığından toplantı saat ......................’de kapatıldı ve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35" w:lineRule="auto"/>
      <w:ind w:firstLine="397"/>
      <w:jc w:val="both"/>
    </w:pPr>
    <w:rPr>
      <w:rFonts w:ascii="Cambria" w:hAnsi="Cambria" w:eastAsia="Cambria" w:cs="Cambria"/>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60" w:line="235" w:lineRule="auto"/>
      <w:ind w:firstLine="0"/>
      <w:jc w:val="left"/>
      <w:outlineLvl w:val="0"/>
    </w:pPr>
    <w:rPr>
      <w:rFonts w:cstheme="majorBidi" w:ascii="Cambria" w:hAnsi="Cambria" w:eastAsia="Cambria" w:cs="Cambria"/>
      <w:b/>
      <w:bCs/>
      <w:color w:val="000000"/>
      <w:sz w:val="16"/>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60" w:line="235" w:lineRule="auto"/>
      <w:ind w:firstLine="0"/>
      <w:jc w:val="left"/>
      <w:outlineLvl w:val="1"/>
    </w:pPr>
    <w:rPr>
      <w:rFonts w:cstheme="majorBidi" w:ascii="Cambria" w:hAnsi="Cambria" w:eastAsia="Cambria" w:cs="Cambria"/>
      <w:b/>
      <w:bCs/>
      <w:i/>
      <w:color w:val="000000"/>
      <w:sz w:val="16"/>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60" w:line="235"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Anasınıfı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