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Anaokulu Müdürlüğü</w:t>
      </w:r>
    </w:p>
    <w:p>
      <w:pPr>
        <w:pStyle w:val="Title"/>
      </w:pPr>
      <w:r>
        <w:t>2026–2027 Eğitim Öğretim Yılı</w:t>
        <w:br/>
        <w:t>Bağımsız Anaokulu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Gündemin Kabul Edilmesi</w:t>
      </w:r>
    </w:p>
    <w:p>
      <w:pPr>
        <w:pStyle w:val="Agenda"/>
        <w:numPr>
          <w:ilvl w:val="0"/>
          <w:numId w:val="90"/>
        </w:numPr>
      </w:pPr>
      <w:r>
        <w:t>Mevzuatın ve Türkiye Yüzyılı Maarif Modeli’nin Görüşülmesi</w:t>
      </w:r>
    </w:p>
    <w:p>
      <w:pPr>
        <w:pStyle w:val="Agenda"/>
        <w:numPr>
          <w:ilvl w:val="0"/>
          <w:numId w:val="90"/>
        </w:numPr>
      </w:pPr>
      <w:r>
        <w:t>Yaş Gruplarının, Şubelerin ve Eğitim Düzeninin Planlanması</w:t>
      </w:r>
    </w:p>
    <w:p>
      <w:pPr>
        <w:pStyle w:val="Agenda"/>
        <w:numPr>
          <w:ilvl w:val="0"/>
          <w:numId w:val="90"/>
        </w:numPr>
      </w:pPr>
      <w:r>
        <w:t>Aylık ve Günlük Planların Eşgüdüm İçinde Hazırlanması</w:t>
      </w:r>
    </w:p>
    <w:p>
      <w:pPr>
        <w:pStyle w:val="Agenda"/>
        <w:numPr>
          <w:ilvl w:val="0"/>
          <w:numId w:val="90"/>
        </w:numPr>
      </w:pPr>
      <w:r>
        <w:t>Öğrenme Merkezlerinin ve Ortak Alanların Düzenlenmesi</w:t>
      </w:r>
    </w:p>
    <w:p>
      <w:pPr>
        <w:pStyle w:val="Agenda"/>
        <w:numPr>
          <w:ilvl w:val="0"/>
          <w:numId w:val="90"/>
        </w:numPr>
      </w:pPr>
      <w:r>
        <w:t>Oyun Temelli Öğrenme ve Alan Becerilerinin Bütünleştirilmesi</w:t>
      </w:r>
    </w:p>
    <w:p>
      <w:pPr>
        <w:pStyle w:val="Agenda"/>
        <w:numPr>
          <w:ilvl w:val="0"/>
          <w:numId w:val="90"/>
        </w:numPr>
      </w:pPr>
      <w:r>
        <w:t>Beslenme, Sağlık, Temizlik ve Personel İş Birliğinin Görüşülmesi</w:t>
      </w:r>
    </w:p>
    <w:p>
      <w:pPr>
        <w:pStyle w:val="Agenda"/>
        <w:numPr>
          <w:ilvl w:val="0"/>
          <w:numId w:val="90"/>
        </w:numPr>
      </w:pPr>
      <w:r>
        <w:t>Gözlem, Belgeleme ve Gelişim Değerlendirmesinin Planlanması</w:t>
      </w:r>
    </w:p>
    <w:p>
      <w:pPr>
        <w:pStyle w:val="Agenda"/>
        <w:numPr>
          <w:ilvl w:val="0"/>
          <w:numId w:val="90"/>
        </w:numPr>
      </w:pPr>
      <w:r>
        <w:t>Farklılaştırma, BEP ve Rehberlik Çalışmalarının Görüşülmesi</w:t>
      </w:r>
    </w:p>
    <w:p>
      <w:pPr>
        <w:pStyle w:val="Agenda"/>
        <w:numPr>
          <w:ilvl w:val="0"/>
          <w:numId w:val="90"/>
        </w:numPr>
      </w:pPr>
      <w:r>
        <w:t>Aile Eğitimi ve Katılım Çalışmalarının Planlanması</w:t>
      </w:r>
    </w:p>
    <w:p>
      <w:pPr>
        <w:pStyle w:val="Agenda"/>
        <w:numPr>
          <w:ilvl w:val="0"/>
          <w:numId w:val="90"/>
        </w:numPr>
      </w:pPr>
      <w:r>
        <w:t>Bahçe, Güvenlik, Nöbet ve Okul Geneli Etkinliklerin Görüşülmesi</w:t>
      </w:r>
    </w:p>
    <w:p>
      <w:pPr>
        <w:pStyle w:val="Agenda"/>
        <w:numPr>
          <w:ilvl w:val="0"/>
          <w:numId w:val="90"/>
        </w:numPr>
      </w:pPr>
      <w:r>
        <w:t>Kararların Sonuçlandırılması ve Toplantının Kapatılması</w:t>
      </w:r>
    </w:p>
    <w:p>
      <w:pPr>
        <w:pStyle w:val="Heading1"/>
        <w:pageBreakBefore/>
      </w:pPr>
      <w:r>
        <w:t>Gündem Maddelerinin Görüşülmesi</w:t>
      </w:r>
    </w:p>
    <w:p>
      <w:pPr>
        <w:pStyle w:val="Heading2"/>
      </w:pPr>
      <w:r>
        <w:t>1. Açılışın Yapılması ve Gündemin Kabul Edilmesi</w:t>
      </w:r>
    </w:p>
    <w:p>
      <w:r>
        <w:t>...................... Anaokulu sene başı zümre öğretmenler kurulu, ...................... tarihinde saat ......................’de ...................... başkanlığında toplandı. Toplantıya okul öncesi öğretmenlerinin katıldığı görüldü, yazman olarak ...................... belirlendi ve gündem oybirliğiyle kabul edildi.</w:t>
      </w:r>
    </w:p>
    <w:p>
      <w:r>
        <w:t>Zümre başkanı, bağımsız anaokulunda farklı yaş grupları ve şubeler arasında ortak bir eğitim anlayışı kurulmasının önemini belirtti. Her şubenin çocuklarının gelişim özellikleri korunmak üzere plan, materyal, ortak alan ve aile çalışmaları konusunda düzenli iş birliği yapılması kararlaştırıldı.</w:t>
      </w:r>
    </w:p>
    <w:p>
      <w:pPr>
        <w:pStyle w:val="Heading2"/>
      </w:pPr>
      <w:r>
        <w:t>2. Mevzuatın ve Türkiye Yüzyılı Maarif Modeli’nin Görüşülmesi</w:t>
      </w:r>
    </w:p>
    <w:p>
      <w:r>
        <w:t>Okul Öncesi Eğitim ve İlköğretim Kurumları Yönetmeliği, Eğitim Kurulları ve Zümreleri Yönergesi ile Türkiye Yüzyılı Maarif Modeli Okul Öncesi Eğitim Programı görüşüldü. Eğitim sürecinin çocuk merkezli, oyun temelli, bütüncül ve gelişimsel farklılıklara duyarlı yürütülmesi kararlaştırıldı.</w:t>
      </w:r>
    </w:p>
    <w:p>
      <w:r>
        <w:t>Programda yer alan alan becerileri, kavramsal beceriler, sosyal-duygusal öğrenme becerileri, eğilimler, değerler ve okuryazarlıkların birbirinden kopuk etkinlikler olarak değil günlük yaşam içinde bütünleştirilmesi kabul edildi. Hazır planların şubelere aynen aktarılmaması kararlaştırıldı.</w:t>
      </w:r>
    </w:p>
    <w:p>
      <w:pPr>
        <w:pStyle w:val="Heading2"/>
      </w:pPr>
      <w:r>
        <w:t>3. Yaş Gruplarının, Şubelerin ve Eğitim Düzeninin Planlanması</w:t>
      </w:r>
    </w:p>
    <w:p>
      <w:r>
        <w:t>Anaokulundaki 36-48, 48-60 ve 60-72 aylık çocukların gelişim özellikleri ile şubelerin mevcutları görüşüldü. Aynı kazanım ve beklentinin bütün yaş gruplarına aynı güçlükte sunulmaması, destek ve materyallerin çocukların hazır bulunuşluğuna göre düzenlenmesi kararlaştırıldı.</w:t>
      </w:r>
    </w:p>
    <w:p>
      <w:r>
        <w:t>Normal, ikili veya tam gün eğitim uygulamasında karşılama, beslenme, dinlenme, açık hava ve çıkış saatlerinin şubeler arasında çakışma oluşturmayacak biçimde yönetimle planlanması kabul edildi. Sabahçı ve öğlenci gruplar arasında sınıfın düzenli ve güvenli devredilmesi kararlaştırıldı.</w:t>
      </w:r>
    </w:p>
    <w:p>
      <w:pPr>
        <w:pStyle w:val="Heading2"/>
      </w:pPr>
      <w:r>
        <w:t>4. Aylık ve Günlük Planların Eşgüdüm İçinde Hazırlanması</w:t>
      </w:r>
    </w:p>
    <w:p>
      <w:r>
        <w:t>Aylık planların çocuk gözlemleri, çevre koşulları, okul imkânları ve program alanları dikkate alınarak hazırlanması görüşüldü. Günlük planlarda oyun, hareket, sanat, müzik, dil, fen, matematik, sosyal yaşam ve öz bakım deneyimlerinin dengeli biçimde yer alması kararlaştırıldı.</w:t>
      </w:r>
    </w:p>
    <w:p>
      <w:r>
        <w:t>Şubelerin ortak etkinlik takviminin çocukların oyun süresini daraltmaması kabul edildi. Gezi, gösteri ve kutlama hazırlıklarının günlük eğitimin önüne geçmemesi, uygulama sonrası değerlendirme notlarının sonraki planlarda kullanılması kararlaştırıldı.</w:t>
      </w:r>
    </w:p>
    <w:p>
      <w:pPr>
        <w:pStyle w:val="Heading2"/>
      </w:pPr>
      <w:r>
        <w:t>5. Öğrenme Merkezlerinin ve Ortak Alanların Düzenlenmesi</w:t>
      </w:r>
    </w:p>
    <w:p>
      <w:r>
        <w:t>Sınıflardaki öğrenme merkezleri ile bahçe, yemek alanı, uyku-dinlenme bölümü ve çok amaçlı salonun kullanımı görüşüldü. Malzemelerin yaş grubuna uygun, erişilebilir, sağlam ve güvenli olması; geçiş yollarının açık tutulması kararlaştırıldı.</w:t>
      </w:r>
    </w:p>
    <w:p>
      <w:r>
        <w:t>Ortak araç gereçlerin şubeler arasında teslim düzeninin belirlenmesi ve hasarlı materyalin kullanılmadan yönetime bildirilmesi kabul edildi. Ortak alanların tek bir şubenin sürekli kullanımına bırakılmaması, temizlik ve havalandırma sürelerinin personelle birlikte planlanması kararlaştırıldı.</w:t>
      </w:r>
    </w:p>
    <w:p>
      <w:pPr>
        <w:pStyle w:val="Heading2"/>
      </w:pPr>
      <w:r>
        <w:t>6. Oyun Temelli Öğrenme ve Alan Becerilerinin Bütünleştirilmesi</w:t>
      </w:r>
    </w:p>
    <w:p>
      <w:r>
        <w:t>Türkçe, matematik, fen, sosyal, hareket ve sağlık, sanat ile müzik alanlarının oyun ve günlük yaşam bağlamında bütünleştirilmesi görüşüldü. Çocukların soru sormasına, seçim yapmasına, birlikte oyun kurmasına ve ürettiğini anlatmasına yeterli süre verilmesi kararlaştırıldı.</w:t>
      </w:r>
    </w:p>
    <w:p>
      <w:r>
        <w:t>Çalışma kâğıdının temel öğrenme yolu hâline getirilmemesi, erken okuma yazma öğretimi yerine dil, ses farkındalığı, ince motor, dikkat ve düşünme becerilerinin oyun içinde desteklenmesi kabul edildi. Tek tip ürün yerine çocukların özgün anlatımlarına yer verilmesi kararlaştırıldı.</w:t>
      </w:r>
    </w:p>
    <w:p>
      <w:pPr>
        <w:pStyle w:val="Heading2"/>
      </w:pPr>
      <w:r>
        <w:t>7. Beslenme, Sağlık, Temizlik ve Personel İş Birliğinin Görüşülmesi</w:t>
      </w:r>
    </w:p>
    <w:p>
      <w:r>
        <w:t>Beslenme saatleri, gıda güvenliği, alerji bilgileri, el yıkama ve tuvalet rutinleri görüşüldü. Sağlıkla ilgili özel durumların yönetim aracılığıyla yetkili personelle paylaşılması, çocuğun mahremiyetinin korunması ve ilaç uygulamalarında kurum kurallarına uyulması kararlaştırıldı.</w:t>
      </w:r>
    </w:p>
    <w:p>
      <w:r>
        <w:t>Öğretmen, yardımcı personel, mutfak ve temizlik görevlilerinin sorumluluk sınırlarının yönetimce açıklanması kabul edildi. Eğitim sorumluluğunun yardımcı personele bırakılmaması, temizlik çalışmasının çocukların bulunduğu ortamda risk oluşturmayacak zamanda yapılması kararlaştırıldı.</w:t>
      </w:r>
    </w:p>
    <w:p>
      <w:pPr>
        <w:pStyle w:val="Heading2"/>
      </w:pPr>
      <w:r>
        <w:t>8. Gözlem, Belgeleme ve Gelişim Değerlendirmesinin Planlanması</w:t>
      </w:r>
    </w:p>
    <w:p>
      <w:r>
        <w:t>Beceri gözlem formu, anekdot kayıt formu, çocuk ürünleri ve beceri edinim raporunun kullanım amacı görüşüldü. Kayıtların çocukları sıralamak için değil gelişimi izlemek ve eğitimi düzenlemek için farklı zaman ve ortamlardaki gözlemlere dayandırılması kararlaştırıldı.</w:t>
      </w:r>
    </w:p>
    <w:p>
      <w:r>
        <w:t>Fotoğraf ve video kayıtlarında veli izinlerinin gözetilmesi, kişisel verilerin öğretmen gruplarında ve ortak cihazlarda korunması kabul edildi. Gerekli e-Okul işlemlerinin süresinde tamamlanması ve gelişim bilgilerinin ailelerle bireysel görüşmelerde paylaşılması kararlaştırıldı.</w:t>
      </w:r>
    </w:p>
    <w:p>
      <w:pPr>
        <w:pStyle w:val="Heading2"/>
      </w:pPr>
      <w:r>
        <w:t>9. Farklılaştırma, BEP ve Rehberlik Çalışmalarının Görüşülmesi</w:t>
      </w:r>
    </w:p>
    <w:p>
      <w:r>
        <w:t>Çocukların ilgi, gereksinim ve hazır bulunuşluklarına göre destekleme ve zenginleştirme yapılması görüşüldü. Görsel ipucu, kısa yönerge, farklı materyal, ek süre ve alternatif katılım seçeneklerinin günlük plan içinde kullanılması kararlaştırıldı.</w:t>
      </w:r>
    </w:p>
    <w:p>
      <w:r>
        <w:t>Özel eğitim ihtiyacı bulunan çocukların çalışmalarının BEP geliştirme birimi ve ilgili belgeler doğrultusunda yürütülmesi kabul edildi. Öğretmenin tanı koymaması, gözlemlerini nesnel biçimde kaydetmesi ve yönetim, rehberlik hizmetleri ile aile arasında güvenli iş birliği kurması kararlaştırıldı.</w:t>
      </w:r>
    </w:p>
    <w:p>
      <w:pPr>
        <w:pStyle w:val="Heading2"/>
      </w:pPr>
      <w:r>
        <w:t>10. Aile Eğitimi ve Katılım Çalışmalarının Planlanması</w:t>
      </w:r>
    </w:p>
    <w:p>
      <w:r>
        <w:t>Aile eğitimi ihtiyaç belirleme ve aile katılımı tercih bilgilerinin dönem başında alınması görüşüldü. Okul genelindeki aile çalışmalarının yaş grubuna, gerçek ihtiyaca ve katılım imkânlarına göre hazırlanması kararlaştırıldı.</w:t>
      </w:r>
    </w:p>
    <w:p>
      <w:r>
        <w:t>Aile katılımının yalnız malzeme gönderme veya çocuk yerine ürün hazırlama biçiminde yürütülmemesi kabul edildi. Ailelerin meslek, kültür, oyun ve yaşam deneyimlerinden güvenli biçimde yararlanılması; duyuruların ortak kanaldan açık ve zamanında yapılması kararlaştırıldı.</w:t>
      </w:r>
    </w:p>
    <w:p>
      <w:pPr>
        <w:pStyle w:val="Heading2"/>
        <w:pageBreakBefore/>
      </w:pPr>
      <w:r>
        <w:t>11. Bahçe, Güvenlik, Nöbet ve Okul Geneli Etkinliklerin Görüşülmesi</w:t>
      </w:r>
    </w:p>
    <w:p>
      <w:r>
        <w:t>Çocukların okula giriş ve çıkışı, teslim alınması, bahçe kullanımı, ziyaretçi kontrolü ve acil durum uygulamaları görüşüldü. Çocukların yalnız bırakılmaması, sayı kontrolünün geçişlerde yinelenmesi ve yetkisiz kişiye teslim yapılmaması kararlaştırıldı.</w:t>
      </w:r>
    </w:p>
    <w:p>
      <w:r>
        <w:t>Belirli gün ve haftalar ile okul genelindeki etkinliklerin çocuklara uzun süreli prova yaptırmadan, oyun ve yaşantı yoluyla yürütülmesi kabul edildi. Nöbet ve ortak alan sorumluluklarının yönetim planına uygun yerine getirilmesi, risklerin gecikmeden bildirilmesi kararlaştırıldı.</w:t>
      </w:r>
    </w:p>
    <w:p>
      <w:pPr>
        <w:pStyle w:val="Heading2"/>
      </w:pPr>
      <w:r>
        <w:t>12. Kararların Sonuçlandırılması ve Toplantının Kapatılması</w:t>
      </w:r>
    </w:p>
    <w:p>
      <w:pPr>
        <w:keepNext/>
        <w:keepLines/>
      </w:pPr>
      <w:r>
        <w:t>Zümre üyeleri, işe yarayan materyal ve uygulamaları çocukların kimlik bilgilerini paylaşmadan aylık değerlendirmelerde ele alacaklarını belirtti. Şubeler arasındaki eğitim sürekliliğinin yönetim toplantılarında izlenmesi ve ihtiyaçların zamanında bildirilmesi kararlaştırıldı.</w:t>
      </w:r>
    </w:p>
    <w:p>
      <w:pPr>
        <w:keepNext/>
        <w:keepLines/>
      </w:pPr>
      <w:r>
        <w:t>Gündemdeki bütün maddeler görüşüldü ve kararlar oybirliğiyle kabul edildi. Kararların okul müdürünün onayından sonra uygulanmasına karar verildi. Başka söz alan olmadığından toplantı saat ......................’de kapatıldı ve tutanak birlikte okunarak imza altına alındı.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80" w:line="240" w:lineRule="auto"/>
      <w:ind w:firstLine="567"/>
      <w:jc w:val="both"/>
    </w:pPr>
    <w:rPr>
      <w:rFonts w:ascii="Times New Roman" w:hAnsi="Times New Roman" w:eastAsia="Times New Roman" w:cs="Times New Roman"/>
      <w:color w:val="000000"/>
      <w:sz w:val="22"/>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80" w:line="240" w:lineRule="auto"/>
      <w:ind w:firstLine="0"/>
      <w:jc w:val="left"/>
      <w:outlineLvl w:val="0"/>
    </w:pPr>
    <w:rPr>
      <w:rFonts w:cstheme="majorBidi" w:ascii="Times New Roman" w:hAnsi="Times New Roman" w:eastAsia="Times New Roman" w:cs="Times New Roman"/>
      <w:b/>
      <w:bCs/>
      <w:color w:val="000000"/>
      <w:sz w:val="18"/>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80" w:line="240" w:lineRule="auto"/>
      <w:ind w:firstLine="0"/>
      <w:jc w:val="left"/>
      <w:outlineLvl w:val="1"/>
    </w:pPr>
    <w:rPr>
      <w:rFonts w:cstheme="majorBidi" w:ascii="Times New Roman" w:hAnsi="Times New Roman" w:eastAsia="Times New Roman" w:cs="Times New Roman"/>
      <w:b/>
      <w:bCs/>
      <w:color w:val="000000"/>
      <w:sz w:val="18"/>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80" w:line="240" w:lineRule="auto" w:before="0"/>
      <w:ind w:firstLine="0"/>
      <w:contextualSpacing/>
      <w:jc w:val="center"/>
    </w:pPr>
    <w:rPr>
      <w:rFonts w:cstheme="majorBidi" w:ascii="Times New Roman" w:hAnsi="Times New Roman" w:eastAsia="Times New Roman" w:cs="Times New Roman"/>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2"/>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Bağımsız Anaokulu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