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Anaokulu Müdürlüğü</w:t>
      </w:r>
    </w:p>
    <w:p>
      <w:pPr>
        <w:pStyle w:val="Title"/>
      </w:pPr>
      <w:r>
        <w:t>2026–2027 Eğitim Öğretim Yılı</w:t>
        <w:br/>
        <w:t>Bağımsız Anaokulu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Toplantının Açılması ve Kapsayıcı Yaklaşımın Belirlenmesi</w:t>
      </w:r>
    </w:p>
    <w:p>
      <w:pPr>
        <w:pStyle w:val="Agenda"/>
        <w:numPr>
          <w:ilvl w:val="0"/>
          <w:numId w:val="90"/>
        </w:numPr>
      </w:pPr>
      <w:r>
        <w:t>Türkiye Yüzyılı Maarif Modeli’nde Farklılaştırmanın Görüşülmesi</w:t>
      </w:r>
    </w:p>
    <w:p>
      <w:pPr>
        <w:pStyle w:val="Agenda"/>
        <w:numPr>
          <w:ilvl w:val="0"/>
          <w:numId w:val="90"/>
        </w:numPr>
      </w:pPr>
      <w:r>
        <w:t>Başlangıç Gözlemleri ve Bireysel Gereksinimlerin Belirlenmesi</w:t>
      </w:r>
    </w:p>
    <w:p>
      <w:pPr>
        <w:pStyle w:val="Agenda"/>
        <w:numPr>
          <w:ilvl w:val="0"/>
          <w:numId w:val="90"/>
        </w:numPr>
      </w:pPr>
      <w:r>
        <w:t>Erişilebilir Sınıf ve Ortak Alanların Düzenlenmesi</w:t>
      </w:r>
    </w:p>
    <w:p>
      <w:pPr>
        <w:pStyle w:val="Agenda"/>
        <w:numPr>
          <w:ilvl w:val="0"/>
          <w:numId w:val="90"/>
        </w:numPr>
      </w:pPr>
      <w:r>
        <w:t>İletişim, Akran Oyunu ve Sosyal Katılımın Desteklenmesi</w:t>
      </w:r>
    </w:p>
    <w:p>
      <w:pPr>
        <w:pStyle w:val="Agenda"/>
        <w:numPr>
          <w:ilvl w:val="0"/>
          <w:numId w:val="90"/>
        </w:numPr>
      </w:pPr>
      <w:r>
        <w:t>Hareket, Duyusal Gereksinim, Öz Bakım ve Beslenmenin Planlanması</w:t>
      </w:r>
    </w:p>
    <w:p>
      <w:pPr>
        <w:pStyle w:val="Agenda"/>
        <w:numPr>
          <w:ilvl w:val="0"/>
          <w:numId w:val="90"/>
        </w:numPr>
      </w:pPr>
      <w:r>
        <w:t>Dil, Erken Okuryazarlık ve Matematik Desteğinin Görüşülmesi</w:t>
      </w:r>
    </w:p>
    <w:p>
      <w:pPr>
        <w:pStyle w:val="Agenda"/>
        <w:numPr>
          <w:ilvl w:val="0"/>
          <w:numId w:val="90"/>
        </w:numPr>
      </w:pPr>
      <w:r>
        <w:t>Sanat, Müzik, Fen ve Açık Hava Etkinliklerinde Seçenek Sunulması</w:t>
      </w:r>
    </w:p>
    <w:p>
      <w:pPr>
        <w:pStyle w:val="Agenda"/>
        <w:numPr>
          <w:ilvl w:val="0"/>
          <w:numId w:val="90"/>
        </w:numPr>
      </w:pPr>
      <w:r>
        <w:t>Öğrenme Kanıtları, Geri Bildirim ve Gelişim Raporlarının Düzenlenmesi</w:t>
      </w:r>
    </w:p>
    <w:p>
      <w:pPr>
        <w:pStyle w:val="Agenda"/>
        <w:numPr>
          <w:ilvl w:val="0"/>
          <w:numId w:val="90"/>
        </w:numPr>
      </w:pPr>
      <w:r>
        <w:t>BEP, Rehberlik ve Kurum Personeli İş Birliğinin Planlanması</w:t>
      </w:r>
    </w:p>
    <w:p>
      <w:pPr>
        <w:pStyle w:val="Agenda"/>
        <w:numPr>
          <w:ilvl w:val="0"/>
          <w:numId w:val="90"/>
        </w:numPr>
      </w:pPr>
      <w:r>
        <w:t>Aile Katılımı, Geçişler ve Okul Genelinde Sürekliliğin Görüşülmesi</w:t>
      </w:r>
    </w:p>
    <w:p>
      <w:pPr>
        <w:pStyle w:val="Agenda"/>
        <w:numPr>
          <w:ilvl w:val="0"/>
          <w:numId w:val="90"/>
        </w:numPr>
      </w:pPr>
      <w:r>
        <w:t>Sonuçların Karara Bağlanması ve Toplantının Kapatılması</w:t>
      </w:r>
    </w:p>
    <w:p>
      <w:pPr>
        <w:pStyle w:val="Heading1"/>
        <w:pageBreakBefore/>
      </w:pPr>
      <w:r>
        <w:t>Gündem Maddelerinin Görüşülmesi</w:t>
      </w:r>
    </w:p>
    <w:p>
      <w:pPr>
        <w:pStyle w:val="Heading2"/>
      </w:pPr>
      <w:r>
        <w:t>1. Toplantının Açılması ve Kapsayıcı Yaklaşımın Belirlenmesi</w:t>
      </w:r>
    </w:p>
    <w:p>
      <w:r>
        <w:t>...................... Anaokulu sene başı zümre öğretmenler kurulu, ...................... tarihinde saat ......................’de ...................... başkanlığında toplandı. Katılım durumu belirlendi, yazmanlık görevini ...................... üstlendi ve öğrenme desteği odaklı gündem oybirliğiyle kabul edildi.</w:t>
      </w:r>
    </w:p>
    <w:p>
      <w:r>
        <w:t>Çocukların güçlü yönlerinden hareket edilmesi, gelişim farklılıklarının etiketleme amacıyla kullanılmaması ve desteğin mümkün olduğunca doğal sınıf yaşantısı içinde sunulması kararlaştırıldı. Kişisel bilgilerin ortak tutanak ve mesajlaşma gruplarında yer almaması kabul edildi.</w:t>
      </w:r>
    </w:p>
    <w:p>
      <w:pPr>
        <w:pStyle w:val="Heading2"/>
      </w:pPr>
      <w:r>
        <w:t>2. Türkiye Yüzyılı Maarif Modeli’nde Farklılaştırmanın Görüşülmesi</w:t>
      </w:r>
    </w:p>
    <w:p>
      <w:r>
        <w:t>Türkiye Yüzyılı Maarif Modeli Okul Öncesi Eğitim Programı’nın oyun temelli öğrenme, bütüncül gelişim ve farklılaştırma ilkeleri görüşüldü. Alan becerileri ile sosyal-duygusal öğrenme, değer, eğilim ve okuryazarlıkların çocukların günlük deneyimlerinde birlikte desteklenmesi kararlaştırıldı.</w:t>
      </w:r>
    </w:p>
    <w:p>
      <w:r>
        <w:t>Destekleme ve zenginleştirmenin ayrı bir ders gibi uygulanmaması kabul edildi. Aynı amaca ulaşmak için konuşma, işaret etme, hareket, resim, nesne seçme ve dramatik oyun gibi farklı katılım yolları sunulması kararlaştırıldı.</w:t>
      </w:r>
    </w:p>
    <w:p>
      <w:pPr>
        <w:pStyle w:val="Heading2"/>
      </w:pPr>
      <w:r>
        <w:t>3. Başlangıç Gözlemleri ve Bireysel Gereksinimlerin Belirlenmesi</w:t>
      </w:r>
    </w:p>
    <w:p>
      <w:r>
        <w:t>İlk haftalarda çocukların iletişim, oyun, hareket, öz bakım, dikkat ve akran ilişkilerinin farklı ortam ve zamanlarda gözlenmesi görüşüldü. Tek bir davranıştan kalıcı sonuç çıkarılmaması, gözlem notlarının tarih ve bağlam içermesi kararlaştırıldı.</w:t>
      </w:r>
    </w:p>
    <w:p>
      <w:r>
        <w:t>Ailelerden çocuğun ilgi alanları, günlük rutinleri, sağlık durumu ve kullandığı destekler hakkında gerekli bilgilerin alınması kabul edildi. Öğretmenin tanı koymaması, gerekli yönlendirmenin yönetim ve rehberlik hizmetleriyle yürütülmesi kararlaştırıldı.</w:t>
      </w:r>
    </w:p>
    <w:p>
      <w:pPr>
        <w:pStyle w:val="Heading2"/>
      </w:pPr>
      <w:r>
        <w:t>4. Erişilebilir Sınıf ve Ortak Alanların Düzenlenmesi</w:t>
      </w:r>
    </w:p>
    <w:p>
      <w:r>
        <w:t>Sınıf, bahçe, yemek alanı, dinlenme bölümü ve çok amaçlı salonun bütün çocuklar için erişilebilirliği görüşüldü. Açık geçiş alanları, anlaşılır görsel işaretler, uygun ışık ve ses düzeni ile gerektiğinde kısa sakinleşme alanı oluşturulması kararlaştırıldı.</w:t>
      </w:r>
    </w:p>
    <w:p>
      <w:r>
        <w:t>Farklı tutuş araçları, büyük parçalı malzemeler ve duyusal seçeneklerin ortak materyal havuzunda bulundurulması kabul edildi. Uyarlamanın çocuğu arkadaşlarından ayıran kalıcı bir düzene dönüşmemesi ve ortak alan saatlerinin aşırı uyaranı azaltacak biçimde planlanması kararlaştırıldı.</w:t>
      </w:r>
    </w:p>
    <w:p>
      <w:pPr>
        <w:pStyle w:val="Heading2"/>
      </w:pPr>
      <w:r>
        <w:t>5. İletişim, Akran Oyunu ve Sosyal Katılımın Desteklenmesi</w:t>
      </w:r>
    </w:p>
    <w:p>
      <w:r>
        <w:t>İletişim başlatmakta veya sıra almakta zorlanan çocuklara resimli seçim kartı, kısa cümle modeli ve oyun rolü sunulması görüşüldü. Çocuğun yanıtı için yeterli süre tanınması ve her ifadesinin yetişkin tarafından tamamlanmaması kararlaştırıldı.</w:t>
      </w:r>
    </w:p>
    <w:p>
      <w:r>
        <w:t>Akran eşleşmelerinin dönüşümlü kurulması, yardımın çocuğun yerine görev yapmaya dönüşmemesi kabul edildi. Ortak oyunda benzer materyalden birden fazla bulundurulması ve çatışmalarda duygu ile çözüm seçeneklerinin birlikte ele alınması kararlaştırıldı.</w:t>
      </w:r>
    </w:p>
    <w:p>
      <w:pPr>
        <w:pStyle w:val="Heading2"/>
      </w:pPr>
      <w:r>
        <w:t>6. Hareket, Duyusal Gereksinim, Öz Bakım ve Beslenmenin Planlanması</w:t>
      </w:r>
    </w:p>
    <w:p>
      <w:r>
        <w:t>Hareket etkinliklerinde aynı hız ve biçimde katılım beklenmemesi; oturarak, ayakta veya destekli seçenekler sunulması görüşüldü. Gürültü, doku, ışık ve koku hassasiyetlerinin davranış sorunu olarak değerlendirilmemesi kararlaştırıldı.</w:t>
      </w:r>
    </w:p>
    <w:p>
      <w:r>
        <w:t>El yıkama, tuvalet, giyinme ve beslenme adımlarının gerektiğinde görsellerle sıralanması kabul edildi. Alerji ve özel beslenme bilgilerinin mutfak ve ilgili personelle yönetim aracılığıyla güvenli biçimde paylaşılması, mahremiyetin korunması kararlaştırıldı.</w:t>
      </w:r>
    </w:p>
    <w:p>
      <w:pPr>
        <w:pStyle w:val="Heading2"/>
      </w:pPr>
      <w:r>
        <w:t>7. Dil, Erken Okuryazarlık ve Matematik Desteğinin Görüşülmesi</w:t>
      </w:r>
    </w:p>
    <w:p>
      <w:r>
        <w:t>Hikâyelerin görsel, nesne, canlandırma ve kısa tekrarlarla desteklenmesi görüşüldü. Çocuğun dinlediğini konuşma dışında sıralama, eşleştirme, resim veya hareketle gösterebilmesine fırsat verilmesi kararlaştırıldı.</w:t>
      </w:r>
    </w:p>
    <w:p>
      <w:r>
        <w:t>Sayma, örüntü, sınıflama, ölçme ve mekânda konum çalışmalarında somut materyal kullanılması kabul edildi. Yardımın model olma, birlikte deneme ve bağımsız yapma sırasıyla azaltılması; ilerleyen çocuklara yeni problem durumları sunulması kararlaştırıldı.</w:t>
      </w:r>
    </w:p>
    <w:p>
      <w:pPr>
        <w:pStyle w:val="Heading2"/>
      </w:pPr>
      <w:r>
        <w:t>8. Sanat, Müzik, Fen ve Açık Hava Etkinliklerinde Seçenek Sunulması</w:t>
      </w:r>
    </w:p>
    <w:p>
      <w:r>
        <w:t>Sanat çalışmalarında tek tip ürün beklenmemesi, farklı araç ve uygulama yolları sunulması görüşüldü. Müzikte ses düzeyinin hassasiyetlere göre düzenlenmesi ve harekete katılamayan çocuğa ritim veya araç görevi verilmesi kararlaştırıldı.</w:t>
      </w:r>
    </w:p>
    <w:p>
      <w:r>
        <w:t>Fen ve açık hava çalışmalarında dokunmak istemeyen çocuk için gözlem aracı veya alternatif malzeme sunulması kabul edildi. Güvenlik yönergelerinin kısa, görünür ve uygulamalı açıklanması; çocukların merak ettikleri konulara göre araştırma fırsatı verilmesi kararlaştırıldı.</w:t>
      </w:r>
    </w:p>
    <w:p>
      <w:pPr>
        <w:pStyle w:val="Heading2"/>
      </w:pPr>
      <w:r>
        <w:t>9. Öğrenme Kanıtları, Geri Bildirim ve Gelişim Raporlarının Düzenlenmesi</w:t>
      </w:r>
    </w:p>
    <w:p>
      <w:r>
        <w:t>Beceri gözlem formu, anekdot kaydı, çocuk ürünleri ve beceri edinim raporunun birlikte değerlendirilmesi görüşüldü. Çocuğun ilerlemesinin başka çocuklarla değil önceki kendi performansıyla karşılaştırılması kararlaştırıldı.</w:t>
      </w:r>
    </w:p>
    <w:p>
      <w:r>
        <w:t>Geri bildirimin kişiliğe değil yapılan işe yönelmesi ve bir defada çok sayıda düzeltme verilmemesi kabul edildi. Fotoğraf ve videolarda izin ile güvenli saklama kurallarına uyulması, kayıtların yalnız yetkili kişilerce görülmesi kararlaştırıldı.</w:t>
      </w:r>
    </w:p>
    <w:p>
      <w:pPr>
        <w:pStyle w:val="Heading2"/>
      </w:pPr>
      <w:r>
        <w:t>10. BEP, Rehberlik ve Kurum Personeli İş Birliğinin Planlanması</w:t>
      </w:r>
    </w:p>
    <w:p>
      <w:r>
        <w:t>BEP kapsamındaki çocukların amaçlarının günlük oyun ve rutinler içinde ele alınması görüşüldü. Sınıf öğretmeni, aile, yönetim, rehberlik ve özel eğitim hizmetleri arasında görev paylaşımı yapılması kararlaştırıldı.</w:t>
      </w:r>
    </w:p>
    <w:p>
      <w:r>
        <w:t>Yardımcı personelin eğitimsel karar verici konumuna getirilmemesi, öğretmenin belirlediği güvenli rutinleri desteklemesi kabul edildi. Uygulanan desteğin bağımsız katılımı artırıp artırmadığının düzenli değerlendirilmesi ve yarar sağlamayan düzenlemenin değiştirilmesi kararlaştırıldı.</w:t>
      </w:r>
    </w:p>
    <w:p>
      <w:pPr>
        <w:pStyle w:val="Heading2"/>
        <w:pageBreakBefore/>
      </w:pPr>
      <w:r>
        <w:t>11. Aile Katılımı, Geçişler ve Okul Genelinde Sürekliliğin Görüşülmesi</w:t>
      </w:r>
    </w:p>
    <w:p>
      <w:r>
        <w:t>Ailelere evde uygulanabilecek kısa oyun, sohbet ve günlük yaşam önerileri sunulması görüşüldü. Önerilerin özel araç gereç gerektirmemesi, yetişkinin çocuk yerine ürün hazırlamasına dönüşmemesi kararlaştırıldı.</w:t>
      </w:r>
    </w:p>
    <w:p>
      <w:r>
        <w:t>Çocuğun yaş grubu veya şube değiştirmesinde gerekli gelişim bilgisinin yetkili öğretmenler arasında güvenli biçimde aktarılması kabul edildi. İlkokula geçişin yalnız harf ve sayı bilgisiyle değerlendirilmemesi; öz bakım, iletişim ve sosyal-duygusal hazır oluşun da aileyle paylaşılması kararlaştırıldı.</w:t>
      </w:r>
    </w:p>
    <w:p>
      <w:pPr>
        <w:pStyle w:val="Heading2"/>
      </w:pPr>
      <w:r>
        <w:t>12. Sonuçların Karara Bağlanması ve Toplantının Kapatılması</w:t>
      </w:r>
    </w:p>
    <w:p>
      <w:pPr>
        <w:keepNext/>
        <w:keepLines/>
      </w:pPr>
      <w:r>
        <w:t>Zümre üyeleri, çocukların katılımını artıran görsel, materyal ve rutinleri kimlik bilgisi içermeyen örneklerle paylaşacaklarını belirtti. Ortak alanların erişilebilirliği ile personel iş birliğinin aylık değerlendirmelerde gözden geçirilmesi kararlaştırıldı.</w:t>
      </w:r>
    </w:p>
    <w:p>
      <w:pPr>
        <w:keepNext/>
        <w:keepLines/>
      </w:pPr>
      <w:r>
        <w:t>Gündemdeki bütün hususlar görüşüldü ve kararlar oybirliğiyle kabul edildi. Kararların okul müdürünün onayından sonra uygulanmasına karar verildi. Başka söz alan olmadığından toplantı saat ......................’de kapatıldı ve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35" w:lineRule="auto"/>
      <w:ind w:firstLine="397"/>
      <w:jc w:val="both"/>
    </w:pPr>
    <w:rPr>
      <w:rFonts w:ascii="Cambria" w:hAnsi="Cambria" w:eastAsia="Cambria" w:cs="Cambria"/>
      <w:color w:val="000000"/>
      <w:sz w:val="22"/>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60" w:line="235" w:lineRule="auto"/>
      <w:ind w:firstLine="0"/>
      <w:jc w:val="left"/>
      <w:outlineLvl w:val="0"/>
    </w:pPr>
    <w:rPr>
      <w:rFonts w:cstheme="majorBidi" w:ascii="Cambria" w:hAnsi="Cambria" w:eastAsia="Cambria" w:cs="Cambria"/>
      <w:b/>
      <w:bCs/>
      <w:color w:val="000000"/>
      <w:sz w:val="16"/>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60" w:line="235" w:lineRule="auto"/>
      <w:ind w:firstLine="0"/>
      <w:jc w:val="left"/>
      <w:outlineLvl w:val="1"/>
    </w:pPr>
    <w:rPr>
      <w:rFonts w:cstheme="majorBidi" w:ascii="Cambria" w:hAnsi="Cambria" w:eastAsia="Cambria" w:cs="Cambria"/>
      <w:b/>
      <w:bCs/>
      <w:i/>
      <w:color w:val="000000"/>
      <w:sz w:val="16"/>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60" w:line="235"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Bağımsız Anaokulu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