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Bilişim Teknolojileri ve Yazılım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Görüşülmesi</w:t>
      </w:r>
    </w:p>
    <w:p>
      <w:pPr>
        <w:pStyle w:val="Agenda"/>
        <w:numPr>
          <w:ilvl w:val="0"/>
          <w:numId w:val="90"/>
        </w:numPr>
      </w:pPr>
      <w:r>
        <w:t>Mevzuatın ve Dersin Program Kapsamının İncelenmesi</w:t>
      </w:r>
    </w:p>
    <w:p>
      <w:pPr>
        <w:pStyle w:val="Agenda"/>
        <w:numPr>
          <w:ilvl w:val="0"/>
          <w:numId w:val="90"/>
        </w:numPr>
      </w:pPr>
      <w:r>
        <w:t>Türkiye Yüzyılı Maarif Modeli’nin Uygulanmasının Görüşülmesi</w:t>
      </w:r>
    </w:p>
    <w:p>
      <w:pPr>
        <w:pStyle w:val="Agenda"/>
        <w:numPr>
          <w:ilvl w:val="0"/>
          <w:numId w:val="90"/>
        </w:numPr>
      </w:pPr>
      <w:r>
        <w:t>Yıllık Planların ve Laboratuvar Kullanımının Düzenlenmesi</w:t>
      </w:r>
    </w:p>
    <w:p>
      <w:pPr>
        <w:pStyle w:val="Agenda"/>
        <w:numPr>
          <w:ilvl w:val="0"/>
          <w:numId w:val="90"/>
        </w:numPr>
      </w:pPr>
      <w:r>
        <w:t>Donanım, Yazılım ve Fiziksel Güvenliğin Görüşülmesi</w:t>
      </w:r>
    </w:p>
    <w:p>
      <w:pPr>
        <w:pStyle w:val="Agenda"/>
        <w:numPr>
          <w:ilvl w:val="0"/>
          <w:numId w:val="90"/>
        </w:numPr>
      </w:pPr>
      <w:r>
        <w:t>Dosya Yönetimi ve Dijital Ürün Geliştirmenin Planlanması</w:t>
      </w:r>
    </w:p>
    <w:p>
      <w:pPr>
        <w:pStyle w:val="Agenda"/>
        <w:numPr>
          <w:ilvl w:val="0"/>
          <w:numId w:val="90"/>
        </w:numPr>
      </w:pPr>
      <w:r>
        <w:t>Algoritma ve Blok Tabanlı Programlamanın İşlenmesi</w:t>
      </w:r>
    </w:p>
    <w:p>
      <w:pPr>
        <w:pStyle w:val="Agenda"/>
        <w:numPr>
          <w:ilvl w:val="0"/>
          <w:numId w:val="90"/>
        </w:numPr>
      </w:pPr>
      <w:r>
        <w:t>Ağlar, İletişim ve Bilgiye Erişimin Görüşülmesi</w:t>
      </w:r>
    </w:p>
    <w:p>
      <w:pPr>
        <w:pStyle w:val="Agenda"/>
        <w:numPr>
          <w:ilvl w:val="0"/>
          <w:numId w:val="90"/>
        </w:numPr>
      </w:pPr>
      <w:r>
        <w:t>Dijital Etik, Mahremiyet ve Siber Güvenliğin Planlanması</w:t>
      </w:r>
    </w:p>
    <w:p>
      <w:pPr>
        <w:pStyle w:val="Agenda"/>
        <w:numPr>
          <w:ilvl w:val="0"/>
          <w:numId w:val="90"/>
        </w:numPr>
      </w:pPr>
      <w:r>
        <w:t>Yapay Zekâ Okuryazarlığının ve Veri Kullanımının Görüşülmesi</w:t>
      </w:r>
    </w:p>
    <w:p>
      <w:pPr>
        <w:pStyle w:val="Agenda"/>
        <w:numPr>
          <w:ilvl w:val="0"/>
          <w:numId w:val="90"/>
        </w:numPr>
      </w:pPr>
      <w:r>
        <w:t>Ölçme, Uygulama Görevleri ve Projelerin Düzenlenmesi</w:t>
      </w:r>
    </w:p>
    <w:p>
      <w:pPr>
        <w:pStyle w:val="Agenda"/>
        <w:numPr>
          <w:ilvl w:val="0"/>
          <w:numId w:val="90"/>
        </w:numPr>
      </w:pPr>
      <w:r>
        <w:t>Öğrenme Desteği ve BEP Uygulamalarının Görüşülmesi</w:t>
      </w:r>
    </w:p>
    <w:p>
      <w:pPr>
        <w:pStyle w:val="Agenda"/>
        <w:numPr>
          <w:ilvl w:val="0"/>
          <w:numId w:val="90"/>
        </w:numPr>
      </w:pPr>
      <w:r>
        <w:t>Disiplinler Arası Çalışmaların ve Veli İletişiminin Planlanması</w:t>
      </w:r>
    </w:p>
    <w:p>
      <w:pPr>
        <w:pStyle w:val="Agenda"/>
        <w:numPr>
          <w:ilvl w:val="0"/>
          <w:numId w:val="90"/>
        </w:numPr>
      </w:pPr>
      <w:r>
        <w:t>Mesleki Paylaşımın ve Kararların Sonuçlandırılması</w:t>
      </w:r>
    </w:p>
    <w:p>
      <w:pPr>
        <w:pStyle w:val="Heading1"/>
        <w:pageBreakBefore/>
      </w:pPr>
      <w:r>
        <w:t>Gündem Maddelerinin Görüşülmesi</w:t>
      </w:r>
    </w:p>
    <w:p>
      <w:pPr>
        <w:pStyle w:val="Heading2"/>
      </w:pPr>
      <w:r>
        <w:t>1. Açılışın Yapılması ve Gündemin Görüşülmesi</w:t>
      </w:r>
    </w:p>
    <w:p>
      <w:r>
        <w:t>...................... Ortaokulu Bilişim Teknolojileri ve Yazılım zümre öğretmenler kurulu, ...................... tarihinde saat ......................’de ...................... başkanlığında toplandı. Üyelerin hazır bulunduğu görüldü. Tutanak yazmanlığını ...................... üstlendi. Eğitim öğretim yılı hazırlıklarına ilişkin gündem okunarak kabul edildi.</w:t>
      </w:r>
    </w:p>
    <w:p>
      <w:r>
        <w:t>Zümre başkanı, öğrencilerin yalnız bir yazılımın düğmelerini tanımasının yeterli olmayacağını belirtti. Problem çözme, dijital ürün geliştirme ve güvenli teknoloji kullanımının birlikte ele alınması; aynı sınıf düzeyini okutan öğretmenlerin görev ve değerlendirme örneklerini paylaşması kararlaştırıldı.</w:t>
      </w:r>
    </w:p>
    <w:p>
      <w:pPr>
        <w:pStyle w:val="Heading2"/>
      </w:pPr>
      <w:r>
        <w:t>2. Mevzuatın ve Dersin Program Kapsamının İncelenmesi</w:t>
      </w:r>
    </w:p>
    <w:p>
      <w:r>
        <w:t>Millî Eğitim Bakanlığı Eğitim Kurulları ve Zümreleri Yönergesi, Okul Öncesi Eğitim ve İlköğretim Kurumları Yönetmeliği ile ölçme ve değerlendirmeye ilişkin düzenlemeler görüşüldü. Planların okulun haftalık ders çizelgesi ve güncel Bakanlık açıklamalarıyla birlikte hazırlanması kararlaştırıldı.</w:t>
      </w:r>
    </w:p>
    <w:p>
      <w:r>
        <w:t>2026–2027 yılında 5 ve 6. sınıflarda Türkiye Yüzyılı Maarif Modeli Bilişim Teknolojileri ve Yazılım Dersi Öğretim Programı’nın esas alınması kabul edildi. Okulda okutulan seçmeli bilişim dersleri varsa bunların kendi ad, program ve düzeylerine göre ayrıca planlanması; bütün sınıflara aynı içerik verilmemesi kararlaştırıldı.</w:t>
      </w:r>
    </w:p>
    <w:p>
      <w:pPr>
        <w:pStyle w:val="Heading2"/>
      </w:pPr>
      <w:r>
        <w:t>3. Türkiye Yüzyılı Maarif Modeli’nin Uygulanmasının Görüşülmesi</w:t>
      </w:r>
    </w:p>
    <w:p>
      <w:r>
        <w:t>Öğrenme çıktıları, süreç bileşenleri ve öğrenme kanıtları birlikte incelendi. Ön değerlendirmede öğrencilerin cihaz kullanma deneyimiyle problem çözme becerisinin ayrı tanınması, köprü kurmada günlük yaşamdan sıralı işlem örnekleri kullanılması ve farklılaştırmanın ders hazırlığına alınması kararlaştırıldı.</w:t>
      </w:r>
    </w:p>
    <w:p>
      <w:r>
        <w:t>Erdem-değer-eylem çerçevesinin dijital emeğe saygı, kaynak gösterme ve ortak cihazı özenle kullanmayla ilişkilendirilmesi kabul edildi. Sosyal-duygusal öğrenmenin eşli çalışmada görev paylaşma, hatadan sonra yeniden deneme ve uygun yardım isteme davranışlarıyla desteklenmesi kararlaştırıldı.</w:t>
      </w:r>
    </w:p>
    <w:p>
      <w:pPr>
        <w:pStyle w:val="Heading2"/>
      </w:pPr>
      <w:r>
        <w:t>4. Yıllık Planların ve Laboratuvar Kullanımının Düzenlenmesi</w:t>
      </w:r>
    </w:p>
    <w:p>
      <w:r>
        <w:t>Programın tema sırası, süreleri, resmî takvim ve okulun donanım imkânları görüşüldü. Yıllık planlarda dijital ürün, ağ ve iletişim, etik ve güvenlik, yapay zekâ ile programlama çalışmalarının ilgili sınıf kapsamına göre yer alması; okul temelli sürelerin programa uygun kullanılması kararlaştırıldı.</w:t>
      </w:r>
    </w:p>
    <w:p>
      <w:r>
        <w:t>Laboratuvarın şubeler arasında dengeli kullanılması, bilgisayar yetersizliğinde dönüşümlü ve eşli görevler hazırlanması kabul edildi. İnternet kesintisinde kullanılacak çevrim dışı materyallerin önceden bulundurulması; bilgisayarsız etkinliklerin uygulamalı çalışmayı tümüyle ortadan kaldırmaması kararlaştırıldı.</w:t>
      </w:r>
    </w:p>
    <w:p>
      <w:pPr>
        <w:pStyle w:val="Heading2"/>
      </w:pPr>
      <w:r>
        <w:t>5. Donanım, Yazılım ve Fiziksel Güvenliğin Görüşülmesi</w:t>
      </w:r>
    </w:p>
    <w:p>
      <w:r>
        <w:t>Bilişim teknolojileri öğretmeni ......................, cihaz, bağlantı ve çevre birimlerinin dersler başlamadan kontrol edilmesini önerdi. Hasarlı kablo, priz veya cihazın kullanılmaması, arızaların yönetime bildirilmesi; öğrencilerin cihaz kasası, elektrik bağlantısı ve ağ ayarlarına müdahale etmemesi kararlaştırıldı.</w:t>
      </w:r>
    </w:p>
    <w:p>
      <w:r>
        <w:t>Yazılımların lisans ve kullanım koşullarının kontrol edilmesi, kurulum ve güncellemelerin yetkili kişilerce yapılması kabul edildi. Oturma, ekran konumu, aydınlatma ve çalışma aralarının gözetilmesi; cihazların yanına sıvı konulmaması ve ders sonunda çalışma alanının düzenli bırakılması kararlaştırıldı.</w:t>
      </w:r>
    </w:p>
    <w:p>
      <w:pPr>
        <w:pStyle w:val="Heading2"/>
      </w:pPr>
      <w:r>
        <w:t>6. Dosya Yönetimi ve Dijital Ürün Geliştirmenin Planlanması</w:t>
      </w:r>
    </w:p>
    <w:p>
      <w:r>
        <w:t>Dosya ile klasörün ayrılması, anlamlı adlandırma, uygun konuma kaydetme ve dosyayı yeniden bulma becerilerinin uygulamayla çalışılması görüşüldü. Öğrencilerin ürünlerini belirlenen çalışma alanlarında saklaması; mevcut dosyaları silmeden veya üzerine yazmadan önce kontrol etmesi kararlaştırıldı.</w:t>
      </w:r>
    </w:p>
    <w:p>
      <w:r>
        <w:t>Metin, görsel, sunu ve tablolama çalışmalarında amaç, hedef kitle ve okunabilirliğin birlikte ele alınması kabul edildi. Ürünün yalnız süsleme düzeyinde kalmaması; kaynakların belirtilmesi, ilk taslak ile düzeltilmiş sürümün karşılaştırılması ve gerekli yedeklerin alınması kararlaştırıldı.</w:t>
      </w:r>
    </w:p>
    <w:p>
      <w:pPr>
        <w:pStyle w:val="Heading2"/>
      </w:pPr>
      <w:r>
        <w:t>7. Algoritma ve Blok Tabanlı Programlamanın İşlenmesi</w:t>
      </w:r>
    </w:p>
    <w:p>
      <w:r>
        <w:t>Problemin girdisi, beklenen çıktısı ve çözüm basamaklarının kodlamadan önce açıklanması görüşüldü. Günlük yaşam algoritmaları ve bilgisayarsız görevlerden uygun blok tabanlı uygulamalara geçilmesi; sıralama, koşul, döngü ve değişkenlerin sınıf programındaki kapsamla işlenmesi kararlaştırıldı.</w:t>
      </w:r>
    </w:p>
    <w:p>
      <w:r>
        <w:t>Öğrencinin hazır kodu kopyalamak yerine kodun ne yaptığını açıklaması kabul edildi. Farklı test girdileriyle beklenen ve gerçekleşen sonucun karşılaştırılması, hatanın kaynağının adım adım bulunması; bir problemi çözen farklı doğru algoritmaların tartışılması kararlaştırıldı.</w:t>
      </w:r>
    </w:p>
    <w:p>
      <w:pPr>
        <w:pStyle w:val="Heading2"/>
      </w:pPr>
      <w:r>
        <w:t>8. Ağlar, İletişim ve Bilgiye Erişimin Görüşülmesi</w:t>
      </w:r>
    </w:p>
    <w:p>
      <w:r>
        <w:t>Bilgisayar ağı, internet ve iletişim araçlarının temel işlevlerinin uygun modellerle açıklanması görüşüldü. Kaynak aramada anahtar kelime seçme, yazar ve tarih kontrolü ile bilgiyi farklı güvenilir kaynaklarla karşılaştırma çalışmalarına yer verilmesi kararlaştırıldı.</w:t>
      </w:r>
    </w:p>
    <w:p>
      <w:r>
        <w:t>Paylaşımlarda erişim izinlerinin amaca göre sınırlandırılması, ortak bilgisayarda oturumun kapatılması ve parolanın kaydedilmemesi kabul edildi. Öğrencilerin başka hesap ve ağlara erişmeyi denememesi; güvenlik örneklerinin yalnız öğretmenin hazırladığı kapalı ve kurmaca durumlarda ele alınması kararlaştırıldı.</w:t>
      </w:r>
    </w:p>
    <w:p>
      <w:pPr>
        <w:pStyle w:val="Heading2"/>
      </w:pPr>
      <w:r>
        <w:t>9. Dijital Etik, Mahremiyet ve Siber Güvenliğin Planlanması</w:t>
      </w:r>
    </w:p>
    <w:p>
      <w:r>
        <w:t>Güçlü ve farklı parolalar, şüpheli bağlantılar, kimlik avı ve dijital ayak izi konularının yaşa uygun örneklerle işlenmesi görüşüldü. Gerçek parola veya kimlik bilgisinin sınıfta toplanmaması, örnek hesaplarda kurmaca bilgiler kullanılması ve kişisel verilerin gereksiz paylaşılmaması kararlaştırıldı.</w:t>
      </w:r>
    </w:p>
    <w:p>
      <w:r>
        <w:t>Siber zorbalıkta karşılık verme yerine güvenilir yetişkine başvurma yollarının konuşulması kabul edildi. İzinsiz fotoğraf ve ekran görüntüsü paylaşılmaması, telif ve lisans koşullarına uyulması; öğrenci ürünlerinin yayımlanmasında okulun izin ve mahremiyet süreçlerinin gözetilmesi kararlaştırıldı.</w:t>
      </w:r>
    </w:p>
    <w:p>
      <w:pPr>
        <w:pStyle w:val="Heading2"/>
      </w:pPr>
      <w:r>
        <w:t>10. Yapay Zekâ Okuryazarlığının ve Veri Kullanımının Görüşülmesi</w:t>
      </w:r>
    </w:p>
    <w:p>
      <w:r>
        <w:t>Yapay zekâ uygulamalarının sınıf düzeyine uygun örneklerle incelenmesi, kullanılan veri ile ortaya çıkan sonuç arasındaki ilişkinin tartışılması görüşüldü. Sonuçların hatalı veya yanlı olabileceğinin gösterilmesi; yapay zekâ çıktısının doğrulanmadan bilgi kaynağı sayılmaması kararlaştırıldı.</w:t>
      </w:r>
    </w:p>
    <w:p>
      <w:r>
        <w:t>Etkinliklerde kurmaca veya uygun açık veriler kullanılması, öğrenciye ait yüz, ses, kimlik ve özel bilgilerin hizmetlere yüklenmemesi kabul edildi. Araçların yaş ve kullanım koşullarının kontrol edilmesi; gerektiğinde öğretmen gösterimi veya çevrim dışı model kullanılması, alınan yapay zekâ desteğinin ürün açıklamasında belirtilmesi kararlaştırıldı.</w:t>
      </w:r>
    </w:p>
    <w:p>
      <w:pPr>
        <w:pStyle w:val="Heading2"/>
      </w:pPr>
      <w:r>
        <w:t>11. Ölçme, Uygulama Görevleri ve Projelerin Düzenlenmesi</w:t>
      </w:r>
    </w:p>
    <w:p>
      <w:r>
        <w:t>Yazılı değerlendirmelerin yürürlükteki esaslar ve konu soru dağılım tablolarına göre hazırlanması görüşüldü. Okulca hazırlanacak yazılılarda açık uçlu veya açık uçlu ve kısa cevaplı sorular kullanılması, puanlama anahtarının önceden oluşturulması ve ilgili ortak sınav açıklamalarının izlenmesi kararlaştırıldı.</w:t>
      </w:r>
    </w:p>
    <w:p>
      <w:r>
        <w:t>Uygulama görevlerinde planlama, işlevsellik, hata ayıklama, güvenli kullanım ve açıklama ölçütlerinin önceden duyurulması kabul edildi. Grup ürününde her öğrencinin katkısının gözlenmesi; evde bilgisayar bulunmasının başarı ölçütü yapılmaması, proje ve e-Okul kayıtlarının süresinde tamamlanması kararlaştırıldı.</w:t>
      </w:r>
    </w:p>
    <w:p>
      <w:pPr>
        <w:pStyle w:val="Heading2"/>
      </w:pPr>
      <w:r>
        <w:t>12. Öğrenme Desteği ve BEP Uygulamalarının Görüşülmesi</w:t>
      </w:r>
    </w:p>
    <w:p>
      <w:r>
        <w:t>Cihaz kullanmada deneyimsiz öğrencilere kısa işlem yönergeleri, görsel sıra ve öğretmen modellemesi sunulması görüşüldü. Klavye hızının düşünme becerisiyle eş tutulmaması, desteğin kademeli azaltılması ve ilerleyen öğrencilerin alternatif çözüm geliştirmeyle zenginleştirilmesi kararlaştırıldı.</w:t>
      </w:r>
    </w:p>
    <w:p>
      <w:r>
        <w:t>BEP kapsamındaki öğrencilerin hedef, öğretim ve değerlendirmelerinin ilgili raporlar ve BEP geliştirme birimi kararları doğrultusunda düzenlenmesi kabul edildi. Uygun erişilebilirlik ayarları ve çalışma süresi sağlanması; öğrencilerin özel bilgilerinin yalnız ilgili kişilerle paylaşılması kararlaştırıldı.</w:t>
      </w:r>
    </w:p>
    <w:p>
      <w:pPr>
        <w:pStyle w:val="Heading2"/>
      </w:pPr>
      <w:r>
        <w:t>13. Disiplinler Arası Çalışmaların ve Veli İletişiminin Planlanması</w:t>
      </w:r>
    </w:p>
    <w:p>
      <w:r>
        <w:t>Matematikle algoritma ve veri, diğer derslerle dijital sunum ve kaynak değerlendirme konularında iş birliği yapılması görüşüldü. Okul içi ürün sergisi veya proje çalışmasında öğrencinin tasarım sürecini açıklaması, ücretli donanım veya robotik set alımının zorunlu tutulmaması kararlaştırıldı.</w:t>
      </w:r>
    </w:p>
    <w:p>
      <w:r>
        <w:t>Velilerin dengeli ekran kullanımı, çevrim içi güvenlik ve çocuğun yerine ödev yapmama konusunda bilgilendirilmesi kabul edildi. Evde erişim imkânı olmayanlara okulda çalışma fırsatı sağlanması, okul dışı etkinliklerde gerekli izin ve güvenlik koşullarının gözetilmesi kararlaştırıldı.</w:t>
      </w:r>
    </w:p>
    <w:p>
      <w:pPr>
        <w:pStyle w:val="Heading2"/>
      </w:pPr>
      <w:r>
        <w:t>14. Mesleki Paylaşımın ve Kararların Sonuçlandırılması</w:t>
      </w:r>
    </w:p>
    <w:p>
      <w:pPr>
        <w:keepNext/>
        <w:keepLines/>
      </w:pPr>
      <w:r>
        <w:t>Zümre üyeleri, kimliksiz ürün ve hata ayıklama örneklerini birlikte incelemeyi kabul etti. Bütün üyelerin mutabakatıyla yıl içinde en az bir ders ziyareti planlanması, ziyarette öğrencilerin çözümü açıklama ve eşli çalışmada görev paylaşma süreçlerine odaklanılması kararlaştırıldı.</w:t>
      </w:r>
    </w:p>
    <w:p>
      <w:pPr>
        <w:keepNext/>
        <w:keepLines/>
      </w:pPr>
      <w:r>
        <w:t>Gündemdeki kararların tamamı oybirliğiyle kabul edildi. Okul müdürünün onayından sonra uygulanmasına karar verilerek toplantı saat ......................’de kapatıldı.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567"/>
      <w:jc w:val="both"/>
    </w:pPr>
    <w:rPr>
      <w:rFonts w:ascii="Times New Roman" w:hAnsi="Times New Roman" w:eastAsia="Times New Roman" w:cs="Times New Roman"/>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Times New Roman" w:hAnsi="Times New Roman" w:eastAsia="Times New Roman" w:cs="Times New Roman"/>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Times New Roman" w:hAnsi="Times New Roman" w:eastAsia="Times New Roman" w:cs="Times New Roman"/>
      <w:b/>
      <w:bCs/>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Bilişim Teknolojileri ve Yazılım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