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İlkokul Aylık Faaliyet Raporu Şablonu</w:t>
      </w:r>
    </w:p>
    <w:p>
      <w:pPr>
        <w:jc w:val="center"/>
      </w:pPr>
      <w:r>
        <w:t>Haziran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İyi örneklerin değerlendirilmesi ve yıl sonu şölenine hazırlık.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31.05.2027</w:t>
              <w:br/>
              <w:t>04.06.2027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10.5. Etkinliklerde iyi örnekler ortaya koyan ve/veya yarışmalarda derece alan öğrenciler ile danışman öğretmenler ve eğitim kurumu yöneticileri il içinde ödüllendirilir.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14.06.2027</w:t>
              <w:br/>
              <w:t>18.06.2027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11.1. İlçelerden gelen materyaller “Dilimizin Zenginlikleri Yıl Sonu Şöleni”nde sergilenmek üzere tasnif edilir.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14.06.2027</w:t>
              <w:br/>
              <w:t>18.06.2027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11.2. Şölen alanı hazırlanır.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Komisyonunca belirlenecektir.</w:t>
              <w:br/>
              <w:t>İl Yürütme Komisyonunca belirlenecektir.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11.3. “Dilimizin Zenginlikleri Yıl Sonu Şöleni”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 Merkez Yürütme Kurulu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