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Okul Öncesi Aylık Faaliyet Raporu Şablonu</w:t>
      </w:r>
    </w:p>
    <w:p>
      <w:pPr>
        <w:jc w:val="center"/>
      </w:pPr>
      <w:r>
        <w:t>Nisan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23 Nisan çalışmaları ve yeni etkileşimli okuma etkinlikleri.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29.03.2027</w:t>
              <w:br/>
              <w:t>23.04.2027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8.3. İl genelinde 23 Nisan Ulusal Egemenlik ve Çocuk Bayramı kapsamında gerçekleştirilecek şenliklere yönelik hazırlıklar yapılır ve etkinlikler düzenlenir.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İlçe Yürütme Komisyonu 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26.04.2027</w:t>
              <w:br/>
              <w:t>30.04.2027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9.1. Kitap tanıtım çalışmaları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