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(DKAB Öğretmeni)</w:t>
      </w:r>
    </w:p>
    <w:p>
      <w:pPr>
        <w:pStyle w:val="Meta"/>
      </w:pPr>
      <w:r>
        <w:t>Katılanlar: ...................... (Müdür Yardımcısı), ...................... (DKAB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Mevzuatın ve Öğretim Programlarının Görüşülmesi</w:t>
      </w:r>
    </w:p>
    <w:p>
      <w:pPr>
        <w:pStyle w:val="Agenda"/>
        <w:numPr>
          <w:ilvl w:val="0"/>
          <w:numId w:val="90"/>
        </w:numPr>
      </w:pPr>
      <w:r>
        <w:t>Maarif Modeli ve Yıllık Plan Hazırlıklarının Görüşülmesi</w:t>
      </w:r>
    </w:p>
    <w:p>
      <w:pPr>
        <w:pStyle w:val="Agenda"/>
        <w:numPr>
          <w:ilvl w:val="0"/>
          <w:numId w:val="90"/>
        </w:numPr>
      </w:pPr>
      <w:r>
        <w:t>Ders Materyallerinin ve Dijital Kaynakların Seçilmesi</w:t>
      </w:r>
    </w:p>
    <w:p>
      <w:pPr>
        <w:pStyle w:val="Agenda"/>
        <w:numPr>
          <w:ilvl w:val="0"/>
          <w:numId w:val="90"/>
        </w:numPr>
      </w:pPr>
      <w:r>
        <w:t>Kavram, Sure ve Dua Çalışmalarının Planlanması</w:t>
      </w:r>
    </w:p>
    <w:p>
      <w:pPr>
        <w:pStyle w:val="Agenda"/>
        <w:numPr>
          <w:ilvl w:val="0"/>
          <w:numId w:val="90"/>
        </w:numPr>
      </w:pPr>
      <w:r>
        <w:t>Ahlaki Örnek Olayların ve Peygamber Kıssalarının İşlenmesi</w:t>
      </w:r>
    </w:p>
    <w:p>
      <w:pPr>
        <w:pStyle w:val="Agenda"/>
        <w:numPr>
          <w:ilvl w:val="0"/>
          <w:numId w:val="90"/>
        </w:numPr>
      </w:pPr>
      <w:r>
        <w:t>Farklılıklara Saygı ve Öğrenci Mahremiyetinin Görüşülmesi</w:t>
      </w:r>
    </w:p>
    <w:p>
      <w:pPr>
        <w:pStyle w:val="Agenda"/>
        <w:numPr>
          <w:ilvl w:val="0"/>
          <w:numId w:val="90"/>
        </w:numPr>
      </w:pPr>
      <w:r>
        <w:t>Sınavların ve Süreç Değerlendirmesinin Düzenlenmesi</w:t>
      </w:r>
    </w:p>
    <w:p>
      <w:pPr>
        <w:pStyle w:val="Agenda"/>
        <w:numPr>
          <w:ilvl w:val="0"/>
          <w:numId w:val="90"/>
        </w:numPr>
      </w:pPr>
      <w:r>
        <w:t>Öğrenme Desteği ve BEP Uygulamalarının Görüşülmesi</w:t>
      </w:r>
    </w:p>
    <w:p>
      <w:pPr>
        <w:pStyle w:val="Agenda"/>
        <w:numPr>
          <w:ilvl w:val="0"/>
          <w:numId w:val="90"/>
        </w:numPr>
      </w:pPr>
      <w:r>
        <w:t>Sekizinci Sınıf ve Araştırma Çalışmalarının Planlanması</w:t>
      </w:r>
    </w:p>
    <w:p>
      <w:pPr>
        <w:pStyle w:val="Agenda"/>
        <w:numPr>
          <w:ilvl w:val="0"/>
          <w:numId w:val="90"/>
        </w:numPr>
      </w:pPr>
      <w:r>
        <w:t>Mesleki İş Birliğinin ve Veli İletişiminin Düzenlenmesi</w:t>
      </w:r>
    </w:p>
    <w:p>
      <w:pPr>
        <w:pStyle w:val="Agenda"/>
        <w:numPr>
          <w:ilvl w:val="0"/>
          <w:numId w:val="90"/>
        </w:numPr>
      </w:pPr>
      <w:r>
        <w:t>Kararların Okunması ve Toplantının Kapatılması</w:t>
      </w:r>
    </w:p>
    <w:p>
      <w:pPr>
        <w:pStyle w:val="Heading1"/>
        <w:pageBreakBefore/>
      </w:pPr>
      <w:r>
        <w:t>Gündem Maddelerinin Görüşülmesi</w:t>
      </w:r>
    </w:p>
    <w:p>
      <w:pPr>
        <w:pStyle w:val="Heading2"/>
      </w:pPr>
      <w:r>
        <w:t>1. Toplantının Açılması ve Görevlerin Belirlenmesi</w:t>
      </w:r>
    </w:p>
    <w:p>
      <w:r>
        <w:t>...................... Ortaokulunda Din Kültürü ve Ahlak Bilgisi branşında tek öğretmen bulunması nedeniyle sene başı toplantısı, ...................... tarihinde saat ......................’de müdür yardımcısı ...................... başkanlığında yapıldı. DKAB öğretmeni ...................... zümre başkanı olarak katıldı. Gündem okunarak tutanağın öğretmen tarafından yazılması kabul edildi.</w:t>
      </w:r>
    </w:p>
    <w:p>
      <w:r>
        <w:t>Toplantı başkanı, farklı sınıflardaki kaynak ve öğrenme ihtiyaçlarının zamanında belirlenmesini istedi. Öğretmen, her sınıf düzeyi için ayrı plan ve materyal dosyası hazırlayacağını belirtti. Okul yönetiminin araç ve çalışma ortamı konusunda destek sağlaması kararlaştırıldı.</w:t>
      </w:r>
    </w:p>
    <w:p>
      <w:pPr>
        <w:pStyle w:val="Heading2"/>
      </w:pPr>
      <w:r>
        <w:t>2. Mevzuatın ve Öğretim Programlarının Görüşülmesi</w:t>
      </w:r>
    </w:p>
    <w:p>
      <w:r>
        <w:t>İlköğretim kurumlarına ilişkin yönetmelik, Eğitim Kurulları ve Zümreleri Yönergesi ile ölçme ve değerlendirme hükümleri incelendi. Ders ve sınav işlemlerinin ilgili düzenlemelere göre yürütülmesi, yıl içinde yayımlanacak resmî açıklamaların takip edilmesi kararlaştırıldı.</w:t>
      </w:r>
    </w:p>
    <w:p>
      <w:r>
        <w:t>2026–2027 yılında 5, 6 ve 7. sınıflarda Türkiye Yüzyılı Maarif Modeli kapsamında güncel Din Kültürü ve Ahlak Bilgisi programının uygulanması kabul edildi. 8. sınıfta önceki programın sürdürülmesi, seçmeli din alanı derslerinin bulunması hâlinde bunların ayrı program ve planlarla yürütülmesi kararlaştırıldı.</w:t>
      </w:r>
    </w:p>
    <w:p>
      <w:pPr>
        <w:pStyle w:val="Heading2"/>
      </w:pPr>
      <w:r>
        <w:t>3. Maarif Modeli ve Yıllık Plan Hazırlıklarının Görüşülmesi</w:t>
      </w:r>
    </w:p>
    <w:p>
      <w:r>
        <w:t>Öğrenme çıktıları ve süreç bileşenlerinin metin inceleme, kavram çalışması ve örnek olaylarla karşılanması görüşüldü. Ön değerlendirme, köprü kurma ve öğrenme kanıtlarının ders akışına yerleştirilmesi; destekleme ve zenginleştirme seçeneklerinin hazırlanması kararlaştırıldı.</w:t>
      </w:r>
    </w:p>
    <w:p>
      <w:r>
        <w:t>Yıllık planların resmî takvim ve ünite süreleriyle uyumlu hazırlanması kabul edildi. Okul temelli çalışmaların programdaki süreler içinde düzenlenmesi; erdem-değer-eylem çerçevesinin sorumluluk, adalet ve yardımlaşmanın günlük yaşamdaki karşılıklarıyla ele alınması kararlaştırıldı.</w:t>
      </w:r>
    </w:p>
    <w:p>
      <w:pPr>
        <w:pStyle w:val="Heading2"/>
      </w:pPr>
      <w:r>
        <w:t>4. Ders Materyallerinin ve Dijital Kaynakların Seçilmesi</w:t>
      </w:r>
    </w:p>
    <w:p>
      <w:r>
        <w:t>Öğretmen, ders kitabındaki metinleri destekleyecek kavram kartları, kısa okumalar ve mimari görsellerin sınıf düzeyine göre dosyalanmasını önerdi. Materyallerin kaynak, dil ve yaşa uygunluk bakımından kontrol edilmesi, öğrencilere zorunlu ücretli kaynak aldırılmaması kararlaştırıldı.</w:t>
      </w:r>
    </w:p>
    <w:p>
      <w:r>
        <w:t>EBA ve uygun resmî kaynaklardan yararlanılması kabul edildi. Kaynağı belli olmayan söz ve videoların ders materyali yapılmaması, ayet ve hadislerin doğruluğunun kontrol edilmesi; dijital erişimi olmayan öğrenciler için basılı seçenek hazırlanması kararlaştırıldı.</w:t>
      </w:r>
    </w:p>
    <w:p>
      <w:pPr>
        <w:pStyle w:val="Heading2"/>
      </w:pPr>
      <w:r>
        <w:t>5. Kavram, Sure ve Dua Çalışmalarının Planlanması</w:t>
      </w:r>
    </w:p>
    <w:p>
      <w:r>
        <w:t>Öğrencilerin dinî kavramlara ilişkin ön bilgilerinin kısa açıklama ve eşleştirme görevleriyle belirlenmesi görüşüldü. Karıştırılan kavramların örneklerle ayrılması, öğrencinin ezberlediği tanımın yanında anlamı kendi cümlesiyle ifade etmesinin istenmesi kararlaştırıldı.</w:t>
      </w:r>
    </w:p>
    <w:p>
      <w:r>
        <w:t>Sure ve duaların ilgili sınıf programında belirtilen kapsamda, okuyuş ve anlam birlikte gözetilerek çalışılması kabul edildi. Kısa tekrarlar ve uygun ses örneklerinden yararlanılması, hataların bireysel geri bildirimle düzeltilmesi; program dışı ezber yükü oluşturulmaması kararlaştırıldı.</w:t>
      </w:r>
    </w:p>
    <w:p>
      <w:pPr>
        <w:pStyle w:val="Heading2"/>
      </w:pPr>
      <w:r>
        <w:t>6. Ahlaki Örnek Olayların ve Peygamber Kıssalarının İşlenmesi</w:t>
      </w:r>
    </w:p>
    <w:p>
      <w:r>
        <w:t>Peygamber kıssaları ve Hz. Muhammed’in hayatından örneklerin ders kapsamına uygun güvenilir kaynaklarla ele alınması görüşüldü. Olayın geçtiği koşulların ve verilen mesajın açıklanması, öğrencinin davranış ile sonuç arasındaki ilişkiyi kurması kararlaştırıldı.</w:t>
      </w:r>
    </w:p>
    <w:p>
      <w:r>
        <w:t>Emanet, doğruluk, merhamet ve kul hakkı için kurmaca okul yaşamı örneklerinin kullanılması kabul edildi. Öğrencilerin gerekçelerini dinlemesi ve farklı çözüm önerilerini karşılaştırması; gerçek sınıf çatışmalarının isim verilerek tartışma konusu yapılmaması kararlaştırıldı.</w:t>
      </w:r>
    </w:p>
    <w:p>
      <w:pPr>
        <w:pStyle w:val="Heading2"/>
      </w:pPr>
      <w:r>
        <w:t>7. Farklılıklara Saygı ve Öğrenci Mahremiyetinin Görüşülmesi</w:t>
      </w:r>
    </w:p>
    <w:p>
      <w:r>
        <w:t>Dinin yorumları ve dünya dinlerine ilişkin konuların programın sınırları içinde, nesnel ve saygılı dille ele alınması görüşüldü. Öğrencilerin aile inançlarını açıklamaya veya herhangi bir topluluğu temsil etmeye yönlendirilmemesi kararlaştırıldı.</w:t>
      </w:r>
    </w:p>
    <w:p>
      <w:r>
        <w:t>İbadet konularının dersin bilgi ve anlam boyutuyla işlenmesi kabul edildi. Öğrencilerin kişisel ibadetlerini belgelemelerinin istenmemesi, aile yaşantısının notlandırma konusu yapılmaması; özel bir durumun yönetim veya rehberlik hizmetleriyle yalnız gerekli ölçüde paylaşılması kararlaştırıldı.</w:t>
      </w:r>
    </w:p>
    <w:p>
      <w:pPr>
        <w:pStyle w:val="Heading2"/>
      </w:pPr>
      <w:r>
        <w:t>8. Sınavların ve Süreç Değerlendirmesinin Düzenlenmesi</w:t>
      </w:r>
    </w:p>
    <w:p>
      <w:r>
        <w:t>Okulca hazırlanacak yazılılarda konu soru dağılım tablolarına uygun açık uçlu veya açık uçlu ve kısa cevaplı sorular kullanılması görüşüldü. Metinden çıkarım ve kavramı örnekle açıklama sorularına yer verilmesi, puanlama anahtarının önceden hazırlanması ve ortak sınavlarda resmî açıklamaların izlenmesi kararlaştırıldı.</w:t>
      </w:r>
    </w:p>
    <w:p>
      <w:r>
        <w:t>Öğrencinin bilgi ve becerisinin esas alınması, anlamca doğru farklı ifadelerin kabul edilmesi kararlaştırıldı. Kısa ders içi görevlerle gelişimin izlenmesi, proje ölçütlerinin önceden bildirilmesi ve e-Okul kayıtlarının zamanında tamamlanması kabul edildi.</w:t>
      </w:r>
    </w:p>
    <w:p>
      <w:pPr>
        <w:pStyle w:val="Heading2"/>
      </w:pPr>
      <w:r>
        <w:t>9. Öğrenme Desteği ve BEP Uygulamalarının Görüşülmesi</w:t>
      </w:r>
    </w:p>
    <w:p>
      <w:r>
        <w:t>Metni anlamada zorlanan öğrenciler için kısa bölümler, açıklanmış sözcükler ve aşamalı sorular hazırlanması görüşüldü. Sözlü açıklama ve görsel düzenleyicilerle öğrenmenin desteklenmesi, ilerleyen öğrencilerin farklı metinlerden ortak mesaj çıkarma görevleriyle çalışması kararlaştırıldı.</w:t>
      </w:r>
    </w:p>
    <w:p>
      <w:r>
        <w:t>BEP kapsamındaki öğrenciler için ilgili raporlar ve BEP geliştirme birimi kararlarına uygun hedef, öğretim ve değerlendirme düzenlenmesi kabul edildi. Uygun süre ve okunaklı materyal sağlanması; öğrenci güçlüklerinin sınıf önünde etiketlenmemesi ve gerektiğinde aileyle bireysel görüşülmesi kararlaştırıldı.</w:t>
      </w:r>
    </w:p>
    <w:p>
      <w:pPr>
        <w:pStyle w:val="Heading2"/>
      </w:pPr>
      <w:r>
        <w:t>10. Sekizinci Sınıf ve Araştırma Çalışmalarının Planlanması</w:t>
      </w:r>
    </w:p>
    <w:p>
      <w:r>
        <w:t>Sekizinci sınıfta yürürlükteki kazanımların korunması, LGS hazırlığında uygun resmî sorularla kavram ve metin ilişkilerinin çalışılması görüşüldü. Yanlışların yalnız sayısının tutulmaması, anlam ve çıkarım güçlüklerine göre yeniden öğretim yapılması kararlaştırıldı.</w:t>
      </w:r>
    </w:p>
    <w:p>
      <w:r>
        <w:t>Araştırma görevlerinde kaynak belirtme ve öğrencinin kendi yorumunu yazma alışkanlığının geliştirilmesi kabul edildi. Kültürel motif ve sosyal sorumluluk çalışmalarında maddi katkının zorunlu tutulmaması, bağışın ders başarısı sayılmaması ve öğrenci ürünlerinde kişisel bilgilerin korunması kararlaştırıldı.</w:t>
      </w:r>
    </w:p>
    <w:p>
      <w:pPr>
        <w:pStyle w:val="Heading2"/>
      </w:pPr>
      <w:r>
        <w:t>11. Mesleki İş Birliğinin ve Veli İletişiminin Düzenlenmesi</w:t>
      </w:r>
    </w:p>
    <w:p>
      <w:r>
        <w:t>Branşta tek öğretmen bulunması nedeniyle ilçe zümresi ile diğer okullardaki DKAB öğretmenleriyle mesleki paylaşım yapılması görüşüldü. Kimliksiz öğrenci ürünleri ve puanlama örneklerinin karşılaştırılması, materyal ihtiyaçlarının müdür yardımcısına bildirilmesi kararlaştırıldı.</w:t>
      </w:r>
    </w:p>
    <w:p>
      <w:r>
        <w:t>Velilerin dersin öğrenme amaçları ve öğrencinin gelişimi hakkında bilgilendirilmesi kabul edildi. Ailelerin çocuğun yerine ödev hazırlamaması; gezi düşünülmesi hâlinde gerekli izin, güvenlik ve erişilebilirlik koşullarının sağlanması, katılamayanlara eşdeğer çalışma sunulması kararlaştırıldı.</w:t>
      </w:r>
    </w:p>
    <w:p>
      <w:pPr>
        <w:pStyle w:val="Heading2"/>
      </w:pPr>
      <w:r>
        <w:t>12. Kararların Okunması ve Toplantının Kapatılması</w:t>
      </w:r>
    </w:p>
    <w:p>
      <w:pPr>
        <w:keepNext/>
        <w:keepLines/>
      </w:pPr>
      <w:r>
        <w:t>Toplantı başkanı ile zümre başkanı alınan kararları birlikte okudu. Yıllık plan ve materyal hazırlıklarının zamanında tamamlanması, karşılaşılan ihtiyaçların okul yönetimine bildirilmesi ve gerekli düzenlemelerin kayıt altına alınması kabul edildi.</w:t>
      </w:r>
    </w:p>
    <w:p>
      <w:pPr>
        <w:keepNext/>
        <w:keepLines/>
      </w:pPr>
      <w:r>
        <w:t>Kararların tamamı oybirliğiyle kabul edildi. Okul müdürünün onayından sonra uygulanmasına karar verilerek toplantı saat ......................’de sona erdirildi. Tutanak katılanlarca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DKAB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