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Ortaokulu Müdürlüğü</w:t>
      </w:r>
    </w:p>
    <w:p>
      <w:pPr>
        <w:pStyle w:val="Title"/>
      </w:pPr>
      <w:r>
        <w:t>2026–2027 Eğitim Öğretim Yılı</w:t>
        <w:br/>
        <w:t>Görsel Sanatlar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 ve Gündem Önceliklerinin Görüşülmesi</w:t>
      </w:r>
    </w:p>
    <w:p>
      <w:pPr>
        <w:pStyle w:val="Agenda"/>
        <w:numPr>
          <w:ilvl w:val="0"/>
          <w:numId w:val="90"/>
        </w:numPr>
      </w:pPr>
      <w:r>
        <w:t>Program Esasları ve Türkiye Yüzyılı Maarif Modelinin Görüşülmesi</w:t>
      </w:r>
    </w:p>
    <w:p>
      <w:pPr>
        <w:pStyle w:val="Agenda"/>
        <w:numPr>
          <w:ilvl w:val="0"/>
          <w:numId w:val="90"/>
        </w:numPr>
      </w:pPr>
      <w:r>
        <w:t>Başlangıç Gözlemlerinin ve Destek İhtiyaçlarının Belirlenmesi</w:t>
      </w:r>
    </w:p>
    <w:p>
      <w:pPr>
        <w:pStyle w:val="Agenda"/>
        <w:numPr>
          <w:ilvl w:val="0"/>
          <w:numId w:val="90"/>
        </w:numPr>
      </w:pPr>
      <w:r>
        <w:t>Çalışmaya Başlama ve Görsel Fikir Geliştirmenin Desteklenmesi</w:t>
      </w:r>
    </w:p>
    <w:p>
      <w:pPr>
        <w:pStyle w:val="Agenda"/>
        <w:numPr>
          <w:ilvl w:val="0"/>
          <w:numId w:val="90"/>
        </w:numPr>
      </w:pPr>
      <w:r>
        <w:t>Malzeme Kullanımı ve Teknik Becerilerin Geliştirilmesi</w:t>
      </w:r>
    </w:p>
    <w:p>
      <w:pPr>
        <w:pStyle w:val="Agenda"/>
        <w:numPr>
          <w:ilvl w:val="0"/>
          <w:numId w:val="90"/>
        </w:numPr>
      </w:pPr>
      <w:r>
        <w:t>Eser İnceleme ve Sözlü Anlatımın Kolaylaştırılması</w:t>
      </w:r>
    </w:p>
    <w:p>
      <w:pPr>
        <w:pStyle w:val="Agenda"/>
        <w:numPr>
          <w:ilvl w:val="0"/>
          <w:numId w:val="90"/>
        </w:numPr>
      </w:pPr>
      <w:r>
        <w:t>BEP ve Erişilebilir Çalışma Ortamının Düzenlenmesi</w:t>
      </w:r>
    </w:p>
    <w:p>
      <w:pPr>
        <w:pStyle w:val="Agenda"/>
        <w:numPr>
          <w:ilvl w:val="0"/>
          <w:numId w:val="90"/>
        </w:numPr>
      </w:pPr>
      <w:r>
        <w:t>Gelişimin İzlenmesi ve Değerlendirmenin Görüşülmesi</w:t>
      </w:r>
    </w:p>
    <w:p>
      <w:pPr>
        <w:pStyle w:val="Agenda"/>
        <w:numPr>
          <w:ilvl w:val="0"/>
          <w:numId w:val="90"/>
        </w:numPr>
      </w:pPr>
      <w:r>
        <w:t>Zenginleştirme ve Akran Paylaşımının Planlanması</w:t>
      </w:r>
    </w:p>
    <w:p>
      <w:pPr>
        <w:pStyle w:val="Agenda"/>
        <w:numPr>
          <w:ilvl w:val="0"/>
          <w:numId w:val="90"/>
        </w:numPr>
      </w:pPr>
      <w:r>
        <w:t>Güvenli Malzeme, Aile Katılımı ve Mahremiyetin Görüşülmesi</w:t>
      </w:r>
    </w:p>
    <w:p>
      <w:pPr>
        <w:pStyle w:val="Agenda"/>
        <w:numPr>
          <w:ilvl w:val="0"/>
          <w:numId w:val="90"/>
        </w:numPr>
      </w:pPr>
      <w:r>
        <w:t>Sergileme ve Öğretmen Paylaşımlarının Düzenlenmesi</w:t>
      </w:r>
    </w:p>
    <w:p>
      <w:pPr>
        <w:pStyle w:val="Agenda"/>
        <w:numPr>
          <w:ilvl w:val="0"/>
          <w:numId w:val="90"/>
        </w:numPr>
      </w:pPr>
      <w:r>
        <w:t>Kararların Sonuçlandırılması ve Kapanışın Yapılması</w:t>
      </w:r>
    </w:p>
    <w:p>
      <w:pPr>
        <w:pStyle w:val="Heading1"/>
        <w:pageBreakBefore/>
      </w:pPr>
      <w:r>
        <w:t>Gündem Maddelerinin Görüşülmesi</w:t>
      </w:r>
    </w:p>
    <w:p>
      <w:pPr>
        <w:pStyle w:val="Heading2"/>
      </w:pPr>
      <w:r>
        <w:t>1. Açılış ve Gündem Önceliklerinin Görüşülmesi</w:t>
      </w:r>
    </w:p>
    <w:p>
      <w:r>
        <w:t>Görsel sanatlar öğretmenleri ...................... başkanlığında ...................... tarihinde saat ......................’de toplandı. Çalışmaya başlamaktan çekinen, malzeme kullanımında güçlük yaşayan veya düşüncesini çizimle anlatmakta zorlanan öğrencilerin desteklenmesi üzerinde duruldu. Her öğrencinin ders içinde kendi ürününü geliştirmesini sağlayacak uygulamaları içeren gündem oybirliğiyle kabul edildi.</w:t>
      </w:r>
    </w:p>
    <w:p>
      <w:pPr>
        <w:pStyle w:val="Heading2"/>
      </w:pPr>
      <w:r>
        <w:t>2. Program Esasları ve Türkiye Yüzyılı Maarif Modelinin Görüşülmesi</w:t>
      </w:r>
    </w:p>
    <w:p>
      <w:r>
        <w:t>Yürürlükteki zümre, ilköğretim ve değerlendirme düzenlemeleri incelendi. Görsel sanatlar dersinin kademeli geçişi gereği 2026–2027 yılında 5 ve 6. sınıflarda Türkiye Yüzyılı Maarif Modeli programının, 7 ve 8. sınıflarda bu düzeylerde yürürlükte olan önceki programın esas alınması kararlaştırıldı. Destek çalışmalarının ilgili sınıfın hedeflerinden koparılmadan planlanması görüşüldü.</w:t>
      </w:r>
    </w:p>
    <w:p>
      <w:r>
        <w:t>Maarif Modeli’nin farklılaştırma yaklaşımı kapsamında aynı anlatım amacı için farklı araç, süre ve yardım düzeyleri sunulması kararlaştırıldı. Öğrencinin kendi çalışmasına ilişkin karar vermesi, arkadaşının farklı anlatımına saygı göstermesi ve kullandığı malzemeyi korumasının ders içindeki davranışlarla geliştirilmesi görüşüldü.</w:t>
      </w:r>
    </w:p>
    <w:p>
      <w:pPr>
        <w:pStyle w:val="Heading2"/>
      </w:pPr>
      <w:r>
        <w:t>3. Başlangıç Gözlemlerinin ve Destek İhtiyaçlarının Belirlenmesi</w:t>
      </w:r>
    </w:p>
    <w:p>
      <w:r>
        <w:t>İlk uygulamalarda öğrencinin yönergeyi anlama, aracı kullanma ve fikrini oluşturma durumlarının ayrı ayrı gözlenmesi kararlaştırıldı. Çizime başlamayan öğrenciye yalnızca daha çok resim yaptırmak yerine ne yapmak istediğini anlatma fırsatı verilmesi görüşüldü. Tek bir ürün üzerinden öğrencinin yeteneği hakkında kesin yargı oluşturulmamasına karar verildi.</w:t>
      </w:r>
    </w:p>
    <w:p>
      <w:r>
        <w:t>Başlangıç çizimleriyle öğrencinin kendi açıklamalarının birlikte değerlendirilmesi kararlaştırıldı. Yardıma ihtiyaç duyulan noktanın kısa öğretmen notuyla belirlenmesi, aynı öğrencinin her etkinlikte aynı desteğe ihtiyaç duyacağının varsayılmaması görüşüldü. Gözlemlerin sınıf içinde karşılaştırma veya sıralama amacıyla kullanılmamasına karar verildi.</w:t>
      </w:r>
    </w:p>
    <w:p>
      <w:pPr>
        <w:pStyle w:val="Heading2"/>
      </w:pPr>
      <w:r>
        <w:t>4. Çalışmaya Başlama ve Görsel Fikir Geliştirmenin Desteklenmesi</w:t>
      </w:r>
    </w:p>
    <w:p>
      <w:r>
        <w:t>Boş kâğıda başlamada zorlanan öğrenciler için küçük deneme alanları, nesne gözlemi ve farklı yerleştirme seçenekleri sunulması kararlaştırıldı. Öğretmenin bitmiş ürünü kopyalatmak yerine karar verme sürecini kısa bir örnekle göstermesi görüşüldü. Öğrencinin ilk taslağını değiştirmesinin hata değil çalışma sürecinin bir parçası olarak ele alınmasına karar verildi.</w:t>
      </w:r>
    </w:p>
    <w:p>
      <w:r>
        <w:t>Öğrencilerden önce anlatmak istedikleri bir ayrıntıyı seçmeleri, sonra bu ayrıntıyı çizgi, biçim veya renk yoluyla göstermeleri kararlaştırıldı. Uzun ve çok basamaklı görevlerin kısa aşamalara ayrılması, her aşamada öğrencinin ne yapacağını kendi sözüyle açıklamasına fırsat verilmesi görüşüldü.</w:t>
      </w:r>
    </w:p>
    <w:p>
      <w:pPr>
        <w:pStyle w:val="Heading2"/>
      </w:pPr>
      <w:r>
        <w:t>5. Malzeme Kullanımı ve Teknik Becerilerin Geliştirilmesi</w:t>
      </w:r>
    </w:p>
    <w:p>
      <w:r>
        <w:t>Çizgi kontrolünde güçlük yaşayan öğrencinin farklı kalınlıkta araç ve uygun büyüklükte yüzeyle deneme yapması kararlaştırıldı. İnce ayrıntıları hemen tamamlamasının beklenmemesi, önce geniş biçim ve alanlardan başlanması görüşüldü. Gerekli yardımın öğrencinin yerine ürünü tamamlamaya dönüşmemesine karar verildi.</w:t>
      </w:r>
    </w:p>
    <w:p>
      <w:r>
        <w:t>Renkleri ayırt etme veya karışımları izleme güçlüğünde yalnız sözlü açıklamayla yetinilmemesi, yan yana renk denemeleri ve gerektiğinde yazılı işaretler kullanılması kararlaştırıldı. Dokulu malzemelerden rahatsız olan öğrenciye aynı hedefe yönelik başka araç sunulması, öğrencinin rahatsız olduğu malzemeye zorlanmaması görüşüldü.</w:t>
      </w:r>
    </w:p>
    <w:p>
      <w:pPr>
        <w:pStyle w:val="Heading2"/>
      </w:pPr>
      <w:r>
        <w:t>6. Eser İnceleme ve Sözlü Anlatımın Kolaylaştırılması</w:t>
      </w:r>
    </w:p>
    <w:p>
      <w:r>
        <w:t>Eser incelemesinde önce öğrencinin doğrudan görebileceği ayrıntılardan başlanması, ardından yorum ve gerekçeye geçilmesi kararlaştırıldı. Öğrenciye aynı anda çok sayıda soru sorulmaması, cevabını işaret ederek veya kısa sözlü açıklamayla verebilmesi görüşüldü. Arkadaşının yorumuna katılmadığında eserdeki bir ayrıntıyı dayanak göstermesine fırsat verilmesine karar verildi.</w:t>
      </w:r>
    </w:p>
    <w:p>
      <w:r>
        <w:t>Türk sanatından ve farklı kültürlerden örneklerin yakın çevreyle bağlantı kurularak seçilmesi kararlaştırıldı. Atatürk’ün sanata verdiği önem ve kültürel mirasın korunmasının programla ilişkili çalışmalar içinde ele alınması, sanatçı ve eser bilgisinin ezber listelerine dönüştürülmemesi görüşüldü.</w:t>
      </w:r>
    </w:p>
    <w:p>
      <w:pPr>
        <w:pStyle w:val="Heading2"/>
      </w:pPr>
      <w:r>
        <w:t>7. BEP ve Erişilebilir Çalışma Ortamının Düzenlenmesi</w:t>
      </w:r>
    </w:p>
    <w:p>
      <w:r>
        <w:t>Özel eğitim ihtiyacı bulunan öğrenciler için BEP geliştirme birimi kararlarına uygun amaç, süre ve araç düzenlemeleri yapılması kararlaştırıldı. Oturma yeri, masaya erişim ve malzemeyi tutma durumunun öğrenciye göre değerlendirilmesi, ilgili uzman önerilerinin dikkate alınması görüşüldü. Her öğrenciye aynı uyarlamanın uygulanmamasına karar verildi.</w:t>
      </w:r>
    </w:p>
    <w:p>
      <w:r>
        <w:t>Olağan ders içi destek ile BEP kapsamındaki düzenlemelerin birbirinin yerine kullanılmaması kararlaştırıldı. İhtiyaç sürüyorsa öğretmenin yaptığı çalışmaları ilgili rehberlik hizmetleri ve aileyle paylaşması, tanı koyan ifadeler kullanmaması ve öğrenciye ait özel bilgileri genel kurul tutanağına aktarmaması görüşüldü.</w:t>
      </w:r>
    </w:p>
    <w:p>
      <w:pPr>
        <w:pStyle w:val="Heading2"/>
      </w:pPr>
      <w:r>
        <w:t>8. Gelişimin İzlenmesi ve Değerlendirmenin Görüşülmesi</w:t>
      </w:r>
    </w:p>
    <w:p>
      <w:r>
        <w:t>Değerlendirme ölçütlerinin uygulama başlamadan açıklanması ve görevin amacıyla sınırlandırılması kararlaştırıldı. Aynı sınıf düzeyinde ortak hedefler korunurken BEP uyarlamalarının dikkate alınması görüşüldü. Malzemenin pahalı olması veya ürünün profesyonel resme benzemesinin başarı ölçütü sayılmamasına karar verildi.</w:t>
      </w:r>
    </w:p>
    <w:p>
      <w:r>
        <w:t>İlk taslak, öğretmen geri bildirimi ve öğrencinin düzenlediği ürünün birlikte ele alınması kararlaştırıldı. Geri bildirimde öğrencinin yapabildiği bir yön ile sonraki çalışma adımının belirtilmesi, yalnız güzel olmuş ya da olmamış biçiminde yorum yapılmaması görüşüldü. Uygulama kayıtları ve notların yürürlükteki esaslara göre tutulmasına karar verildi.</w:t>
      </w:r>
    </w:p>
    <w:p>
      <w:pPr>
        <w:pStyle w:val="Heading2"/>
      </w:pPr>
      <w:r>
        <w:t>9. Zenginleştirme ve Akran Paylaşımının Planlanması</w:t>
      </w:r>
    </w:p>
    <w:p>
      <w:r>
        <w:t>Çalışmasını erken tamamlayan öğrenciye sürekli arkadaşlarının resimlerini düzeltme görevi verilmemesi kararlaştırıldı. Aynı fikri başka bir malzemeyle ifade etme, kompozisyonu değiştirme veya küçük bir seri oluşturma seçenekleri sunulması görüşüldü. İleri düzey çalışmanın yalnız daha büyük kâğıt veya daha çok ayrıntı kullanmak olarak anlaşılmamasına karar verildi.</w:t>
      </w:r>
    </w:p>
    <w:p>
      <w:r>
        <w:t>Akran paylaşımında öğrencinin arkadaşının ürününe izin almadan müdahale etmemesi kararlaştırıldı. Yorumların kişiye değil çalışmada görülen özelliklere yöneltilmesi, öğrencilerin sabit başarılı ve başarısız gruplarına ayrılmaması görüşüldü.</w:t>
      </w:r>
    </w:p>
    <w:p>
      <w:pPr>
        <w:pStyle w:val="Heading2"/>
      </w:pPr>
      <w:r>
        <w:t>10. Güvenli Malzeme, Aile Katılımı ve Mahremiyetin Görüşülmesi</w:t>
      </w:r>
    </w:p>
    <w:p>
      <w:r>
        <w:t>Kesici ve yapıştırıcı araçlarla çalışmadan önce güvenli kullanımın gösterilmesi, riskli işlemlerin denetimsiz bırakılmaması kararlaştırıldı. Temiz olmayan atıkların sınıfa getirilmemesi, yaşa uygun boya kullanılması ve ortamın havalandırılması görüşüldü. Ortak malzeme kullanımıyla ekonomik güçlüklerin katılımı engellememesine karar verildi.</w:t>
      </w:r>
    </w:p>
    <w:p>
      <w:r>
        <w:t>Velilerden çocuğun resmini tamamlamaları yerine uygun çalışma ortamı sağlamalarının istenmesi kararlaştırıldı. Ev çalışmalarının ücretli dijital uygulama veya pahalı araç gerektirmemesi, eserlerin ve öğrenci görüntülerinin yayımlanmasında gerekli izinlerin alınması görüşüldü. Dijital görsellerin kaynak belirtilmeden öğrencinin kendi eseri gibi sunulmamasına karar verildi.</w:t>
      </w:r>
    </w:p>
    <w:p>
      <w:pPr>
        <w:pStyle w:val="Heading2"/>
      </w:pPr>
      <w:r>
        <w:t>11. Sergileme ve Öğretmen Paylaşımlarının Düzenlenmesi</w:t>
      </w:r>
    </w:p>
    <w:p>
      <w:r>
        <w:t>Sergilerde farklı öğrencilerin gelişimini gösteren ürünlere dönüşümlü yer verilmesi, yalnız en düzgün görünen resimlerin seçilmemesi kararlaştırıldı. Öğrenci açıklamalarıyla çalışma sürecinin görünür hâle getirilmesi, özel bilgilerin sergi etiketlerine eklenmemesi görüşüldü. Müze ve kültür etkinliklerinin erişim ve güvenlik koşulları sağlanarak planlanmasına karar verildi.</w:t>
      </w:r>
    </w:p>
    <w:p>
      <w:r>
        <w:t>Zümre öğretmenlerinin tamamının görüş birliğiyle en az bir ders ziyareti yapılması kararlaştırıldı. Ziyaretin odağının aşamalı yönerge ve malzeme seçiminin öğrenci katılımına etkisi olması, sonrasında işe yarayan desteklerin öğretmenler arasında paylaşılması görüşüldü.</w:t>
      </w:r>
    </w:p>
    <w:p>
      <w:pPr>
        <w:pStyle w:val="Heading2"/>
      </w:pPr>
      <w:r>
        <w:t>12. Kararların Sonuçlandırılması ve Kapanışın Yapılması</w:t>
      </w:r>
    </w:p>
    <w:p>
      <w:pPr>
        <w:keepNext/>
        <w:keepLines/>
      </w:pPr>
      <w:r>
        <w:t>Desteklerin öğrencinin ilerlemesine göre yeniden düzenlenmesi, gelişimi gösteren örneklerin dönem içinde değerlendirilmesi kararlaştırıldı. Gündeme ilişkin bütün kararlar katılan zümre öğretmenlerince oybirliğiyle kabul edildi. Okul müdürünün onayından sonra kararların uygulanmasına karar verildi. Toplantı saat ......................’de kapatıldı ve tutanak birlikte imzalandı.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52" w:lineRule="auto"/>
      <w:ind w:firstLine="397"/>
      <w:jc w:val="both"/>
    </w:pPr>
    <w:rPr>
      <w:rFonts w:ascii="Cambria" w:hAnsi="Cambria" w:eastAsia="Cambria" w:cs="Cambria"/>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120" w:line="252" w:lineRule="auto"/>
      <w:ind w:firstLine="0"/>
      <w:jc w:val="left"/>
      <w:outlineLvl w:val="0"/>
    </w:pPr>
    <w:rPr>
      <w:rFonts w:cstheme="majorBidi" w:ascii="Cambria" w:hAnsi="Cambria" w:eastAsia="Cambria" w:cs="Cambria"/>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120" w:line="252" w:lineRule="auto"/>
      <w:ind w:firstLine="0"/>
      <w:jc w:val="left"/>
      <w:outlineLvl w:val="1"/>
    </w:pPr>
    <w:rPr>
      <w:rFonts w:cstheme="majorBidi" w:ascii="Cambria" w:hAnsi="Cambria" w:eastAsia="Cambria" w:cs="Cambria"/>
      <w:b/>
      <w:bCs/>
      <w:i/>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20" w:line="252" w:lineRule="auto" w:before="0"/>
      <w:ind w:firstLine="0"/>
      <w:contextualSpacing/>
      <w:jc w:val="center"/>
    </w:pPr>
    <w:rPr>
      <w:rFonts w:cstheme="majorBidi" w:ascii="Cambria" w:hAnsi="Cambria" w:eastAsia="Cambria" w:cs="Cambria"/>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3"/>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Görsel Sanatlar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