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Beden Eğitimi ve Spor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Gündemin Kabul Edilmesi</w:t>
      </w:r>
    </w:p>
    <w:p>
      <w:pPr>
        <w:pStyle w:val="Agenda"/>
        <w:numPr>
          <w:ilvl w:val="0"/>
          <w:numId w:val="90"/>
        </w:numPr>
      </w:pPr>
      <w:r>
        <w:t>Mevzuatın ve Türkiye Yüzyılı Maarif Modeli’nin Görüşülmesi</w:t>
      </w:r>
    </w:p>
    <w:p>
      <w:pPr>
        <w:pStyle w:val="Agenda"/>
        <w:numPr>
          <w:ilvl w:val="0"/>
          <w:numId w:val="90"/>
        </w:numPr>
      </w:pPr>
      <w:r>
        <w:t>Yıllık Planların ve Spor Branşlarının Belirlenmesi</w:t>
      </w:r>
    </w:p>
    <w:p>
      <w:pPr>
        <w:pStyle w:val="Agenda"/>
        <w:numPr>
          <w:ilvl w:val="0"/>
          <w:numId w:val="90"/>
        </w:numPr>
      </w:pPr>
      <w:r>
        <w:t>Saha ve Malzeme Güvenliğinin Sağlanması</w:t>
      </w:r>
    </w:p>
    <w:p>
      <w:pPr>
        <w:pStyle w:val="Agenda"/>
        <w:numPr>
          <w:ilvl w:val="0"/>
          <w:numId w:val="90"/>
        </w:numPr>
      </w:pPr>
      <w:r>
        <w:t>Sağlık Bilgileri ve Acil Durum Düzeninin Görüşülmesi</w:t>
      </w:r>
    </w:p>
    <w:p>
      <w:pPr>
        <w:pStyle w:val="Agenda"/>
        <w:numPr>
          <w:ilvl w:val="0"/>
          <w:numId w:val="90"/>
        </w:numPr>
      </w:pPr>
      <w:r>
        <w:t>Hareket Becerilerinin Öğretiminin Planlanması</w:t>
      </w:r>
    </w:p>
    <w:p>
      <w:pPr>
        <w:pStyle w:val="Agenda"/>
        <w:numPr>
          <w:ilvl w:val="0"/>
          <w:numId w:val="90"/>
        </w:numPr>
      </w:pPr>
      <w:r>
        <w:t>Fiziksel Aktivite ve Sağlıklı Yaşam Çalışmalarının Düzenlenmesi</w:t>
      </w:r>
    </w:p>
    <w:p>
      <w:pPr>
        <w:pStyle w:val="Agenda"/>
        <w:numPr>
          <w:ilvl w:val="0"/>
          <w:numId w:val="90"/>
        </w:numPr>
      </w:pPr>
      <w:r>
        <w:t>Adil Oyun ve Spor Kültürünün İşlenmesi</w:t>
      </w:r>
    </w:p>
    <w:p>
      <w:pPr>
        <w:pStyle w:val="Agenda"/>
        <w:numPr>
          <w:ilvl w:val="0"/>
          <w:numId w:val="90"/>
        </w:numPr>
      </w:pPr>
      <w:r>
        <w:t>Ölçme ve Değerlendirme Ölçütlerinin Belirlenmesi</w:t>
      </w:r>
    </w:p>
    <w:p>
      <w:pPr>
        <w:pStyle w:val="Agenda"/>
        <w:numPr>
          <w:ilvl w:val="0"/>
          <w:numId w:val="90"/>
        </w:numPr>
      </w:pPr>
      <w:r>
        <w:t>Farklılaştırma ve Katılım Desteğinin Planlanması</w:t>
      </w:r>
    </w:p>
    <w:p>
      <w:pPr>
        <w:pStyle w:val="Agenda"/>
        <w:numPr>
          <w:ilvl w:val="0"/>
          <w:numId w:val="90"/>
        </w:numPr>
      </w:pPr>
      <w:r>
        <w:t>Okul Sporları ve Etkinliklerin Düzenlenmesi</w:t>
      </w:r>
    </w:p>
    <w:p>
      <w:pPr>
        <w:pStyle w:val="Agenda"/>
        <w:numPr>
          <w:ilvl w:val="0"/>
          <w:numId w:val="90"/>
        </w:numPr>
      </w:pPr>
      <w:r>
        <w:t>Dileklerin Görüşülmesi ve Toplantının Kapatılması</w:t>
      </w:r>
    </w:p>
    <w:p>
      <w:pPr>
        <w:pStyle w:val="Heading1"/>
        <w:pageBreakBefore/>
      </w:pPr>
      <w:r>
        <w:t>Gündem Maddelerinin Görüşülmesi</w:t>
      </w:r>
    </w:p>
    <w:p>
      <w:pPr>
        <w:pStyle w:val="Heading2"/>
      </w:pPr>
      <w:r>
        <w:t>1. Açılışın Yapılması ve Gündemin Kabul Edilmesi</w:t>
      </w:r>
    </w:p>
    <w:p>
      <w:r>
        <w:t>...................... Lisesi Beden Eğitimi ve Spor zümre öğretmenler kurulu, ...................... tarihinde saat ......................’de ...................... başkanlığında toplandı. Üyelerin hazır olduğu görüldü. Yazmanlık görevini ...................... üstlendi. Sene başı çalışmalarına ilişkin gündem okunarak kabul edildi.</w:t>
      </w:r>
    </w:p>
    <w:p>
      <w:r>
        <w:t>Zümre başkanı, derslerin bütün öğrencilerin güvenli katılımını sağlayacak biçimde düzenlenmesini istedi. Öğretmen ......................, ortak kullanılan alan ve malzemeler için çalışma düzeni oluşturulmasını önerdi. Ders hazırlıklarının sınıf düzeyine göre paylaşılması ve öğrencilerin gelişiminin düzenli izlenmesi kararlaştırıldı.</w:t>
      </w:r>
    </w:p>
    <w:p>
      <w:pPr>
        <w:pStyle w:val="Heading2"/>
      </w:pPr>
      <w:r>
        <w:t>2. Mevzuatın ve Türkiye Yüzyılı Maarif Modeli’nin Görüşülmesi</w:t>
      </w:r>
    </w:p>
    <w:p>
      <w:r>
        <w:t>Ortaöğretim Kurumları Yönetmeliği, Eğitim Kurulları ve Zümreleri Yönergesi ile ders programı görüşüldü. 2026–2027 yılında hazırlık bulunan okullarda hazırlık ile 9, 10 ve 11. sınıflarda Türkiye Yüzyılı Maarif Modeli’nin, 12. sınıfta önceki programın izlenmesi kararlaştırıldı. Okul türünün haftalık ders çizelgesinin esas alınması kabul edildi.</w:t>
      </w:r>
    </w:p>
    <w:p>
      <w:r>
        <w:t>Zindelik ve fiziksel aktivite, spor eğitimi ve spor kültürü çalışmalarının birlikte planlanması görüşüldü. Öğrenme çıktılarının uygulamalarda gözlenmesi, sorumluluk ve adil oyun anlayışının ders içindeki somut davranışlarla ele alınması kararlaştırıldı.</w:t>
      </w:r>
    </w:p>
    <w:p>
      <w:pPr>
        <w:pStyle w:val="Heading2"/>
      </w:pPr>
      <w:r>
        <w:t>3. Yıllık Planların ve Spor Branşlarının Belirlenmesi</w:t>
      </w:r>
    </w:p>
    <w:p>
      <w:r>
        <w:t>Tema sürelerinin okul takvimi ve açık alan kullanım şartlarıyla karşılaştırılması görüşüldü. Yeni program kapsamındaki hazırlık, 9 ve 11. sınıflar için takım mücadele ve file veya raket sporlarından; 10. sınıf için bireysel mücadele ve alan veya doğa sporlarından birer branş seçilmesi kararlaştırıldı.</w:t>
      </w:r>
    </w:p>
    <w:p>
      <w:r>
        <w:t>Seçimlerin programdaki branş tablosundan yapılması, bir sınıf düzeyinde belirlenen branşın başka düzeyde tekrarlanmaması kabul edildi. Donanım ve güvenli öğretim imkânlarının seçim öncesinde değerlendirilmesi, 12. sınıf planının önceki programına göre ayrı hazırlanması kararlaştırıldı.</w:t>
      </w:r>
    </w:p>
    <w:p>
      <w:pPr>
        <w:pStyle w:val="Heading2"/>
      </w:pPr>
      <w:r>
        <w:t>4. Saha ve Malzeme Güvenliğinin Sağlanması</w:t>
      </w:r>
    </w:p>
    <w:p>
      <w:r>
        <w:t>Ders öncesinde zeminin, oyun alanı sınırlarının ve kullanılan araçların kontrol edilmesi görüşüldü. Sabitlenmesi gereken kale ve diğer ekipmanların güvenliğinin okul yönetimiyle kontrol edilmesi, arızalı malzemenin kullanımdan çıkarılması kararlaştırıldı. Öğrencilerin ağır ekipmanı izinsiz taşımaması kabul edildi.</w:t>
      </w:r>
    </w:p>
    <w:p>
      <w:r>
        <w:t>Yağış, aşırı sıcaklık veya kaygan zemin sebebiyle güvenli olmayan uygulamanın değiştirilmesi kararlaştırıldı. Farklı grupların hareket yönlerinin çakışmaması, araçların öğretmen gözetiminde dağıtılması ve toplanması kabul edildi. Güvenli alan sağlanamadığında uygun kapalı alan etkinliği yapılması kararlaştırıldı.</w:t>
      </w:r>
    </w:p>
    <w:p>
      <w:pPr>
        <w:pStyle w:val="Heading2"/>
      </w:pPr>
      <w:r>
        <w:t>5. Sağlık Bilgileri ve Acil Durum Düzeninin Görüşülmesi</w:t>
      </w:r>
    </w:p>
    <w:p>
      <w:r>
        <w:t>Öğrencilerin etkinliğe katılımını etkileyen sağlık kısıtlarının okulun resmî kayıtları ve ilgili belgeler doğrultusunda dikkate alınması görüşüldü. Öğretmenin tıbbi tanı koymadan, belgede belirtilen sınırlara uygun düzenleme yapması kararlaştırıldı. Sağlık bilgilerinin gizliliğinin korunması kabul edildi.</w:t>
      </w:r>
    </w:p>
    <w:p>
      <w:r>
        <w:t>Rahatsızlık bildiren öğrencinin zorlanmaması, etkinliğin durdurulması ve okulun acil durum sürecinin işletilmesi kararlaştırıldı. Gerekli hâllerde 112 ve okul yönetimine haber verilmesi, ilk yardımın yetkinlik sınırları içinde yürütülmesi kabul edildi. Yaralanma sonrası dönüşte ilgili sağlık önerilerinin izlenmesi kararlaştırıldı.</w:t>
      </w:r>
    </w:p>
    <w:p>
      <w:pPr>
        <w:pStyle w:val="Heading2"/>
      </w:pPr>
      <w:r>
        <w:t>6. Hareket Becerilerinin Öğretiminin Planlanması</w:t>
      </w:r>
    </w:p>
    <w:p>
      <w:r>
        <w:t>Hareketlerin öğretmen tarafından güvenli biçimde gösterilmesi, temel aşamalarının kısa yönergelerle açıklanması görüşüldü. Önce kontrollü bireysel veya eşli deneme, ardından uygun oyun uygulamasına geçilmesi kararlaştırıldı. Öğrencinin hazır olmadığı güçlük düzeyine zorlanmaması kabul edildi.</w:t>
      </w:r>
    </w:p>
    <w:p>
      <w:r>
        <w:t>Bekleme sıralarını azaltmak için öğretmenin görebileceği istasyonlar kurulması önerildi. Aynı derste çok sayıda yeni hareket yerine seçilen becerilerin yeterli tekrarlarla çalışılması, hatalara kısa ve uygulanabilir dönüt verilmesi kararlaştırıldı. İstasyonlar arasında güvenli geçiş düzeni oluşturulması kabul edildi.</w:t>
      </w:r>
    </w:p>
    <w:p>
      <w:pPr>
        <w:pStyle w:val="Heading2"/>
      </w:pPr>
      <w:r>
        <w:t>7. Fiziksel Aktivite ve Sağlıklı Yaşam Çalışmalarının Düzenlenmesi</w:t>
      </w:r>
    </w:p>
    <w:p>
      <w:r>
        <w:t>Derslerin hazırlık, ana etkinlik ve toparlanma bölümleriyle yürütülmesi görüşüldü. Yüklenmenin öğrencinin hazır bulunuşluğuna göre düzenlenmesi, dinlenme ve suya erişim imkânlarının korunması kararlaştırıldı. Fiziksel etkinliğin ceza olarak kullanılmaması kabul edildi.</w:t>
      </w:r>
    </w:p>
    <w:p>
      <w:r>
        <w:t>Öğrencilerin günlük hareket alışkanlıklarını değerlendiren kısa çalışmalar yapılması önerildi. Kilo veya beden görünümü üzerinden hedef dayatılmaması, beslenme konusunda kişiye özel diyet verilmemesi kararlaştırıldı. Sağlıklı yaşam içeriklerinde Bakanlık kaynaklarından yararlanılması kabul edildi.</w:t>
      </w:r>
    </w:p>
    <w:p>
      <w:pPr>
        <w:pStyle w:val="Heading2"/>
      </w:pPr>
      <w:r>
        <w:t>8. Adil Oyun ve Spor Kültürünün İşlenmesi</w:t>
      </w:r>
    </w:p>
    <w:p>
      <w:r>
        <w:t>Oyunlarda kurallara uyma, rakibe saygı ve anlaşmazlık çözme davranışlarının birlikte ele alınması görüşüldü. Öğrencilerin oyuncu, gözlemci ve uygun hakemlik görevlerini dönüşümlü üstlenmeleri kararlaştırıldı. Takım seçiminde arkadaşlarını dışlayan yöntemler kullanılmaması kabul edildi.</w:t>
      </w:r>
    </w:p>
    <w:p>
      <w:r>
        <w:t>Atatürk’ün spora verdiği önem, geleneksel Türk sporları ve olimpizm konularının ilgili sınıf programına göre işlenmesi kararlaştırıldı. Gerçek spor olayları üzerinden sportmenlik örneklerinin tartışılması, fanatik ve aşağılayıcı söylemlerin önlenmesi kabul edildi.</w:t>
      </w:r>
    </w:p>
    <w:p>
      <w:pPr>
        <w:pStyle w:val="Heading2"/>
      </w:pPr>
      <w:r>
        <w:t>9. Ölçme ve Değerlendirme Ölçütlerinin Belirlenmesi</w:t>
      </w:r>
    </w:p>
    <w:p>
      <w:r>
        <w:t>Uygulamalı değerlendirmelerde hareketin temel aşamaları, güvenli uygulama ve oyun içindeki kararların açık ölçütlerle izlenmesi görüşüldü. Ölçütlerin öğrencilere önceden açıklanması ve birden fazla gözlemden yararlanılması kararlaştırıldı. Notun yalnız koşu süresi veya müsabaka sonucuna dayandırılmaması kabul edildi.</w:t>
      </w:r>
    </w:p>
    <w:p>
      <w:r>
        <w:t>Güncel değerlendirme esaslarının izlenmesi, BEP ve belgeli sağlık kısıtlarına ilişkin uyarlamaların ilgili kararlarla yapılması kararlaştırıldı. Öğrencilerin fiziksel özelliklerinin not konusu yapılmaması, gelişim kayıtlarının herkesin görebileceği sıralamalara dönüştürülmemesi kabul edildi.</w:t>
      </w:r>
    </w:p>
    <w:p>
      <w:pPr>
        <w:pStyle w:val="Heading2"/>
      </w:pPr>
      <w:r>
        <w:t>10. Farklılaştırma ve Katılım Desteğinin Planlanması</w:t>
      </w:r>
    </w:p>
    <w:p>
      <w:r>
        <w:t>Beceri güçlüğünde mesafe, araç ve görev basamaklarının hedef korunarak uyarlanması görüşüldü. BEP kapsamındaki çalışmaların ilgili ekip kararlarıyla yürütülmesi kararlaştırıldı. Öğrencinin yapabildiği güvenli uygulamalara katılması, sürekli kenarda bekletilmemesi kabul edildi.</w:t>
      </w:r>
    </w:p>
    <w:p>
      <w:r>
        <w:t>İleri düzeydeki öğrencilere uygun taktik ve karar verme görevleri verilmesi önerildi. Akran desteğinin öğretmen gözetiminin yerine geçmemesi, grupların değişen ihtiyaçlara göre düzenlenmesi kararlaştırıldı. Beden görünümü veya performansla alay edilmesinin önlenmesi kabul edildi.</w:t>
      </w:r>
    </w:p>
    <w:p>
      <w:pPr>
        <w:pStyle w:val="Heading2"/>
        <w:pageBreakBefore/>
      </w:pPr>
      <w:r>
        <w:t>11. Okul Sporları ve Etkinliklerin Düzenlenmesi</w:t>
      </w:r>
    </w:p>
    <w:p>
      <w:r>
        <w:t>Okul sporları çalışmalarının derslerden ayrı planlanması, katılım ve belge işlemlerinde güncel resmî esasların izlenmesi görüşüldü. Takım çalışmalarının diğer öğrencilerin ders imkânlarını azaltmaması kararlaştırıldı. Okul içi etkinliklerde farklı yeterliklere uygun katılım yolları sunulması kabul edildi.</w:t>
      </w:r>
    </w:p>
    <w:p>
      <w:r>
        <w:t>Millî bayram çalışmalarında görev ve alan güvenliğinin önceden belirlenmesi, öğrencilerin aşırı tekrarlarla zorlanmaması kararlaştırıldı. Fotoğraf ve video paylaşımında izin esaslarının izlenmesi, malzeme ihtiyaçlarının okul yönetimine bildirilmesi kabul edildi.</w:t>
      </w:r>
    </w:p>
    <w:p>
      <w:pPr>
        <w:pStyle w:val="Heading2"/>
      </w:pPr>
      <w:r>
        <w:t>12. Dileklerin Görüşülmesi ve Toplantının Kapatılması</w:t>
      </w:r>
    </w:p>
    <w:p>
      <w:pPr>
        <w:keepNext/>
        <w:keepLines/>
      </w:pPr>
      <w:r>
        <w:t>Öğretmenler, alan kullanımı ve malzeme eksiklerinin zümre içinde düzenli paylaşılmasını istedi. Kararların yıllık planlara ve ders hazırlıklarına yansıtılması, uygulamada görülen ihtiyaçlara göre güvenli düzenlemeler yapılması kararlaştırıldı.</w:t>
      </w:r>
    </w:p>
    <w:p>
      <w:pPr>
        <w:keepNext/>
        <w:keepLines/>
      </w:pPr>
      <w:r>
        <w:t>Gündem maddelerinin tamamı görüşüldü ve kararlar oybirliğiyle kabul edildi. Başka söz alan olmadığından toplantı kapatıldı. Tutanak birlikte okunarak imza altına alındı.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80" w:line="240" w:lineRule="auto"/>
      <w:ind w:firstLine="567"/>
      <w:jc w:val="both"/>
    </w:pPr>
    <w:rPr>
      <w:rFonts w:ascii="Times New Roman" w:hAnsi="Times New Roman" w:eastAsia="Times New Roman" w:cs="Times New Roman"/>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80" w:line="240" w:lineRule="auto"/>
      <w:ind w:firstLine="0"/>
      <w:jc w:val="left"/>
      <w:outlineLvl w:val="0"/>
    </w:pPr>
    <w:rPr>
      <w:rFonts w:cstheme="majorBidi" w:ascii="Times New Roman" w:hAnsi="Times New Roman" w:eastAsia="Times New Roman" w:cs="Times New Roman"/>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80" w:line="240" w:lineRule="auto"/>
      <w:ind w:firstLine="0"/>
      <w:jc w:val="left"/>
      <w:outlineLvl w:val="1"/>
    </w:pPr>
    <w:rPr>
      <w:rFonts w:cstheme="majorBidi" w:ascii="Times New Roman" w:hAnsi="Times New Roman" w:eastAsia="Times New Roman" w:cs="Times New Roman"/>
      <w:b/>
      <w:bCs/>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80" w:line="240" w:lineRule="auto" w:before="0"/>
      <w:ind w:firstLine="0"/>
      <w:contextualSpacing/>
      <w:jc w:val="center"/>
    </w:pPr>
    <w:rPr>
      <w:rFonts w:cstheme="majorBidi" w:ascii="Times New Roman" w:hAnsi="Times New Roman" w:eastAsia="Times New Roman" w:cs="Times New Roman"/>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2"/>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Beden Eğitimi ve Spor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