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Din Kültürü ve Ahlak Bilgisi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Çalışma Önceliklerinin Belirlenmesi</w:t>
      </w:r>
    </w:p>
    <w:p>
      <w:pPr>
        <w:pStyle w:val="Agenda"/>
        <w:numPr>
          <w:ilvl w:val="0"/>
          <w:numId w:val="90"/>
        </w:numPr>
      </w:pPr>
      <w:r>
        <w:t>Türkiye Yüzyılı Maarif Modeli ve Program Esaslarının Görüşülmesi</w:t>
      </w:r>
    </w:p>
    <w:p>
      <w:pPr>
        <w:pStyle w:val="Agenda"/>
        <w:numPr>
          <w:ilvl w:val="0"/>
          <w:numId w:val="90"/>
        </w:numPr>
      </w:pPr>
      <w:r>
        <w:t>Hazır Bulunuşluğun ve Öğrenme Güçlüklerinin Belirlenmesi</w:t>
      </w:r>
    </w:p>
    <w:p>
      <w:pPr>
        <w:pStyle w:val="Agenda"/>
        <w:numPr>
          <w:ilvl w:val="0"/>
          <w:numId w:val="90"/>
        </w:numPr>
      </w:pPr>
      <w:r>
        <w:t>Kavram Öğretiminin Somutlaştırılması</w:t>
      </w:r>
    </w:p>
    <w:p>
      <w:pPr>
        <w:pStyle w:val="Agenda"/>
        <w:numPr>
          <w:ilvl w:val="0"/>
          <w:numId w:val="90"/>
        </w:numPr>
      </w:pPr>
      <w:r>
        <w:t>Metinlerin ve Dinî Kaynakların Erişilebilir Kılınması</w:t>
      </w:r>
    </w:p>
    <w:p>
      <w:pPr>
        <w:pStyle w:val="Agenda"/>
        <w:numPr>
          <w:ilvl w:val="0"/>
          <w:numId w:val="90"/>
        </w:numPr>
      </w:pPr>
      <w:r>
        <w:t>Ahlaki Muhakemenin Basamaklandırılması</w:t>
      </w:r>
    </w:p>
    <w:p>
      <w:pPr>
        <w:pStyle w:val="Agenda"/>
        <w:numPr>
          <w:ilvl w:val="0"/>
          <w:numId w:val="90"/>
        </w:numPr>
      </w:pPr>
      <w:r>
        <w:t>Katılımı Destekleyen Sınıf Ortamının Oluşturulması</w:t>
      </w:r>
    </w:p>
    <w:p>
      <w:pPr>
        <w:pStyle w:val="Agenda"/>
        <w:numPr>
          <w:ilvl w:val="0"/>
          <w:numId w:val="90"/>
        </w:numPr>
      </w:pPr>
      <w:r>
        <w:t>Yazılı Anlatım ve Geri Bildirimin Düzenlenmesi</w:t>
      </w:r>
    </w:p>
    <w:p>
      <w:pPr>
        <w:pStyle w:val="Agenda"/>
        <w:numPr>
          <w:ilvl w:val="0"/>
          <w:numId w:val="90"/>
        </w:numPr>
      </w:pPr>
      <w:r>
        <w:t>Ölçme Araçlarının ve Sınavların Planlanması</w:t>
      </w:r>
    </w:p>
    <w:p>
      <w:pPr>
        <w:pStyle w:val="Agenda"/>
        <w:numPr>
          <w:ilvl w:val="0"/>
          <w:numId w:val="90"/>
        </w:numPr>
      </w:pPr>
      <w:r>
        <w:t>Zenginleştirme ve Ortak Ürün Çalışmalarının Düzenlenmesi</w:t>
      </w:r>
    </w:p>
    <w:p>
      <w:pPr>
        <w:pStyle w:val="Agenda"/>
        <w:numPr>
          <w:ilvl w:val="0"/>
          <w:numId w:val="90"/>
        </w:numPr>
      </w:pPr>
      <w:r>
        <w:t>Rehberlik ve Güvenli Kaynak Kullanımının Görüşülmesi</w:t>
      </w:r>
    </w:p>
    <w:p>
      <w:pPr>
        <w:pStyle w:val="Agenda"/>
        <w:numPr>
          <w:ilvl w:val="0"/>
          <w:numId w:val="90"/>
        </w:numPr>
      </w:pPr>
      <w:r>
        <w:t>Kararların Tamamlanması ve Toplantının Kapatılması</w:t>
      </w:r>
    </w:p>
    <w:p>
      <w:pPr>
        <w:pStyle w:val="Heading1"/>
        <w:pageBreakBefore/>
      </w:pPr>
      <w:r>
        <w:t>Gündem Maddelerinin Görüşülmesi</w:t>
      </w:r>
    </w:p>
    <w:p>
      <w:pPr>
        <w:pStyle w:val="Heading2"/>
      </w:pPr>
      <w:r>
        <w:t>1. Açılışın Yapılması ve Çalışma Önceliklerinin Belirlenmesi</w:t>
      </w:r>
    </w:p>
    <w:p>
      <w:r>
        <w:t>...................... Lisesi Din Kültürü ve Ahlak Bilgisi zümre öğretmenleri, ...................... tarihinde saat ......................’de ...................... başkanlığında toplandı. Katılımcıların hazır olduğu belirlendi. Yazman olarak ...................... görev aldı. Gündem okunarak kabul edildi.</w:t>
      </w:r>
    </w:p>
    <w:p>
      <w:r>
        <w:t>Öğretmen ......................, öğrencinin konu bilgisinin okuma ve anlatım güçlüklerinden ayrı incelenmesi gerektiğini belirtti. Öğretim desteğinin somut ihtiyaçlara göre verilmesi, öğrencilerin kendi gelişimleri üzerinden de değerlendirilmesi kararlaştırıldı.</w:t>
      </w:r>
    </w:p>
    <w:p>
      <w:pPr>
        <w:pStyle w:val="Heading2"/>
      </w:pPr>
      <w:r>
        <w:t>2. Türkiye Yüzyılı Maarif Modeli ve Program Esaslarının Görüşülmesi</w:t>
      </w:r>
    </w:p>
    <w:p>
      <w:r>
        <w:t>2026–2027 yılında 9, 10 ve 11. sınıflarda Türkiye Yüzyılı Maarif Modeli, 12. sınıfta önceki program esasları görüşüldü. İlgili mevzuatla birlikte sınıf düzeyine uygun plan hazırlanması kararlaştırıldı. Öğrenme çıktıları, ön değerlendirme ve farklılaştırma çalışmalarının birbirine bağlı yürütülmesi kabul edildi.</w:t>
      </w:r>
    </w:p>
    <w:p>
      <w:r>
        <w:t>Saygı, merhamet ve sorumlulukla ilgili etkinliklerin günlük durumlarla ilişkilendirilmesi görüşüldü. Öğrencinin yalnız tanımı söylemesi yerine davranışın nedenini açıklaması ve olası sonuçlarını değerlendirmesi için uygun sorular hazırlanması kararlaştırıldı.</w:t>
      </w:r>
    </w:p>
    <w:p>
      <w:pPr>
        <w:pStyle w:val="Heading2"/>
      </w:pPr>
      <w:r>
        <w:t>3. Hazır Bulunuşluğun ve Öğrenme Güçlüklerinin Belirlenmesi</w:t>
      </w:r>
    </w:p>
    <w:p>
      <w:r>
        <w:t>Kısa metnin mesajını bulma, bir kavramı örnekle açıklama ve olay hakkında gerekçe yazma görevlerinin kullanılması görüşüldü. Çalışmaların notlandırılmadan incelenmesi, kavram eksikliğiyle yönergeyi anlama güçlüğünün ayrılması kararlaştırıldı. Öğrenci ihtiyaçlarının kısa gözlem notlarıyla izlenmesi kabul edildi.</w:t>
      </w:r>
    </w:p>
    <w:p>
      <w:r>
        <w:t>Desteğin ardından benzer fakat farklı içerikli bir görev verilmesi önerildi. Öğrencilerin sabit başarı gruplarına ayrılmaması, ihtiyaç değiştikçe görevlerin yeniden düzenlenmesi kararlaştırıldı. Eksikliklerin isim verilerek sınıfta duyurulmaması kabul edildi.</w:t>
      </w:r>
    </w:p>
    <w:p>
      <w:pPr>
        <w:pStyle w:val="Heading2"/>
      </w:pPr>
      <w:r>
        <w:t>4. Kavram Öğretiminin Somutlaştırılması</w:t>
      </w:r>
    </w:p>
    <w:p>
      <w:r>
        <w:t>Soyut kavramların yaşa uygun örnek olaylarla ilişkilendirilmesi görüşüldü. Öğrencinin örnekleri gruplandırması ve gruplama nedenini açıklaması kararlaştırıldı. Bir kavramın tek olayla sınırlandırılmaması, farklı durumlarda nasıl kullanılacağının gösterilmesi kabul edildi.</w:t>
      </w:r>
    </w:p>
    <w:p>
      <w:r>
        <w:t>Kavram kartlarında kısa açıklama ve örnek bulunması önerildi. İhtiyaç duyan öğrencilere başlangıçta verilen ipuçlarının ilerlemeyle birlikte azaltılması, öğrencinin bağımsız açıklama yapmasının desteklenmesi kararlaştırıldı. Ezberlenen tanımla anlamanın birbirine karıştırılmaması kabul edildi.</w:t>
      </w:r>
    </w:p>
    <w:p>
      <w:pPr>
        <w:pStyle w:val="Heading2"/>
      </w:pPr>
      <w:r>
        <w:t>5. Metinlerin ve Dinî Kaynakların Erişilebilir Kılınması</w:t>
      </w:r>
    </w:p>
    <w:p>
      <w:r>
        <w:t>Ders kitabındaki metinlerin anlam bütünlüğünü koruyan kısa bölümler hâlinde çalışılması görüşüldü. Bilinmeyen sözcüklerin açıklanması ve temel mesajı bulmaya yardımcı sorular kullanılması kararlaştırıldı. Ayet ve hadislerde kaynağın ve bağlamın korunması kabul edildi.</w:t>
      </w:r>
    </w:p>
    <w:p>
      <w:r>
        <w:t>Sadeleştirme yapılırken dinî metnin kendisinin değiştirilmemesi, öğretmenin açıklamasının metinden ayrılması kararlaştırıldı. Okumayı kolaylaştıracak görsel düzen kullanılması, BEP gerektiren materyal uyarlamalarının ilgili ekip kararlarına göre yapılması kabul edildi.</w:t>
      </w:r>
    </w:p>
    <w:p>
      <w:pPr>
        <w:pStyle w:val="Heading2"/>
      </w:pPr>
      <w:r>
        <w:t>6. Ahlaki Muhakemenin Basamaklandırılması</w:t>
      </w:r>
    </w:p>
    <w:p>
      <w:r>
        <w:t>Örnek olayda önce ne olduğunun, ardından kimlerin etkilendiğinin belirlenmesi görüşüldü. Sonraki aşamada davranışın ilgili değerle bağlantısının kurulması ve çözüm önerilmesi kararlaştırıldı. Öğrencinin cevabını gerekçelendirmesi için kısa yönlendirici sorular kullanılması kabul edildi.</w:t>
      </w:r>
    </w:p>
    <w:p>
      <w:r>
        <w:t>Aynı olaya farklı çözüm öneren öğrencilerin birbirlerini dinlemeleri istendi. Kişisel aile olayları yerine hayalî durumların seçilmesi, öğrenciyi suçlayıcı veya mahcup edici tartışmaların önlenmesi kararlaştırıldı. Çalışmanın sonunda öğrencinin kendi sonucunu yazması kabul edildi.</w:t>
      </w:r>
    </w:p>
    <w:p>
      <w:pPr>
        <w:pStyle w:val="Heading2"/>
      </w:pPr>
      <w:r>
        <w:t>7. Katılımı Destekleyen Sınıf Ortamının Oluşturulması</w:t>
      </w:r>
    </w:p>
    <w:p>
      <w:r>
        <w:t>Sözlü cevap vermekte çekinen öğrenciler için önce bireysel düşünme ve eşle paylaşma süresi kullanılması görüşüldü. Yazılı katkıya da fırsat verilmesi, katılımın yalnız konuşma sıklığıyla değerlendirilmemesi kararlaştırıldı. Sorulara alaycı karşılık verilmesinin önlenmesi kabul edildi.</w:t>
      </w:r>
    </w:p>
    <w:p>
      <w:r>
        <w:t>Öğrencilerin inançlarını ve ibadet durumlarını açıklamak zorunda bırakılmaması kararlaştırıldı. Programdaki farklı dinî yorumlar işlenirken bir öğrencinin temsilci konumuna getirilmemesi, dersin bilgi ve saygı temelinde yürütülmesi kabul edildi.</w:t>
      </w:r>
    </w:p>
    <w:p>
      <w:pPr>
        <w:pStyle w:val="Heading2"/>
      </w:pPr>
      <w:r>
        <w:t>8. Yazılı Anlatım ve Geri Bildirimin Düzenlenmesi</w:t>
      </w:r>
    </w:p>
    <w:p>
      <w:r>
        <w:t>Kısa bir metnin mesajını kendi cümleleriyle açıklama çalışmalarına yer verilmesi görüşüldü. İlk aşamada ihtiyaç duyan öğrenciye düşüncesini düzenleyecek sorular verilmesi, yardımların zamanla kaldırılması kararlaştırıldı. Hazır açıklamayı kopyalamak yerine anlam kurmanın desteklenmesi kabul edildi.</w:t>
      </w:r>
    </w:p>
    <w:p>
      <w:r>
        <w:t>Dönütün yalnız yanlış işaretlemekten ibaret olmaması, hangi kavramın veya gerekçenin eksik olduğunun gösterilmesi kararlaştırıldı. Öğrenciye düzeltme süresi verilmesi ve önceki cevabıyla yeni cevabını karşılaştırmasının istenmesi kabul edildi.</w:t>
      </w:r>
    </w:p>
    <w:p>
      <w:pPr>
        <w:pStyle w:val="Heading2"/>
      </w:pPr>
      <w:r>
        <w:t>9. Ölçme Araçlarının ve Sınavların Planlanması</w:t>
      </w:r>
    </w:p>
    <w:p>
      <w:r>
        <w:t>Ders sonu kısa görevlerle öğrenmenin izlenmesi, her çalışmanın nota dönüştürülmemesi görüşüldü. Sınavların güncel esaslar ve konu soru dağılımıyla uyumlu hazırlanması kararlaştırıldı. Açık yönergeler ve anlaşılır metinler kullanılması kabul edildi.</w:t>
      </w:r>
    </w:p>
    <w:p>
      <w:r>
        <w:t>Öğrencinin dinî tutumunun değil program kapsamındaki bilgi ve açıklama becerisinin ölçülmesi kararlaştırıldı. BEP kapsamındaki değerlendirme uyarlamalarının ilgili kararlarla yürütülmesi, farklı ifadelerle verilen doğru cevapların puanlama anahtarında gözetilmesi kabul edildi. Ortak eksiklerin yeniden öğretimle ele alınması kararlaştırıldı.</w:t>
      </w:r>
    </w:p>
    <w:p>
      <w:pPr>
        <w:pStyle w:val="Heading2"/>
      </w:pPr>
      <w:r>
        <w:t>10. Zenginleştirme ve Ortak Ürün Çalışmalarının Düzenlenmesi</w:t>
      </w:r>
    </w:p>
    <w:p>
      <w:r>
        <w:t>Temel görevi tamamlayan öğrencilere iki güvenilir kaynağın aynı konuyu açıklayışını karşılaştırma çalışması verilmesi önerildi. Sonuçlarını kaynak göstererek anlatmaları, alıntıyla kişisel yorumu ayırmaları kararlaştırıldı. Zenginleştirmenin daha uzun kopyalama ödevine dönüşmemesi kabul edildi.</w:t>
      </w:r>
    </w:p>
    <w:p>
      <w:r>
        <w:t>Grup ürünlerinde araştıran, açıklayan ve düzenleyen rollerin değiştirilmesi, her öğrenciden bireysel katkısını anlatmasının istenmesi kararlaştırıldı. Okul çevresinde israf ve ortak kullanım konularının incelenmesi, bağış miktarının veya ibadete katılımın puan ölçütü yapılmaması kabul edildi.</w:t>
      </w:r>
    </w:p>
    <w:p>
      <w:pPr>
        <w:pStyle w:val="Heading2"/>
        <w:pageBreakBefore/>
      </w:pPr>
      <w:r>
        <w:t>11. Rehberlik ve Güvenli Kaynak Kullanımının Görüşülmesi</w:t>
      </w:r>
    </w:p>
    <w:p>
      <w:r>
        <w:t>Sürekli öğrenme veya katılım güçlüğünde rehberlik servisiyle iş birliği yapılması görüşüldü. Aile görüşmelerinde öğrencinin somut gelişiminin paylaşılması, özel bilgilerin gizli tutulması kararlaştırıldı. Ev çalışmalarının öğrencinin kendi başına sürdürebileceği kapsamda verilmesi kabul edildi.</w:t>
      </w:r>
    </w:p>
    <w:p>
      <w:r>
        <w:t>Dijital içeriklerdeki dinî atıfların doğrulanması, kişisel verilerin dış uygulamalara aktarılmaması kararlaştırıldı. İnternet erişimi olmayan öğrencilere basılı kaynak sağlanması, öğretmenlerin yararlı destek materyallerini öğrenci bilgilerini çıkartarak paylaşması kabul edildi.</w:t>
      </w:r>
    </w:p>
    <w:p>
      <w:pPr>
        <w:pStyle w:val="Heading2"/>
      </w:pPr>
      <w:r>
        <w:t>12. Kararların Tamamlanması ve Toplantının Kapatılması</w:t>
      </w:r>
    </w:p>
    <w:p>
      <w:pPr>
        <w:keepNext/>
        <w:keepLines/>
      </w:pPr>
      <w:r>
        <w:t>Zümre başkanı, öğrencinin ilerlemesine göre desteklerin yeniden düzenlenmesini istedi. Öğretmenler, çalışmaların sonuçlarını somut öğrenci ürünleri üzerinden değerlendireceklerini belirtti. Kararların yıllık planlara ve ders hazırlıklarına yansıtılması kararlaştırıldı.</w:t>
      </w:r>
    </w:p>
    <w:p>
      <w:pPr>
        <w:keepNext/>
        <w:keepLines/>
      </w:pPr>
      <w:r>
        <w:t>Bütün gündem maddeleri görüşüldü ve kararlar oybirliğiyle kabul edildi. Başka söz alan olmadığından toplantı sona erdirildi. Tutanak okunarak imza altına alındı.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80" w:line="240" w:lineRule="auto"/>
      <w:ind w:firstLine="397"/>
      <w:jc w:val="both"/>
    </w:pPr>
    <w:rPr>
      <w:rFonts w:ascii="Cambria" w:hAnsi="Cambria" w:eastAsia="Cambria" w:cs="Cambria"/>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80" w:line="240" w:lineRule="auto"/>
      <w:ind w:firstLine="0"/>
      <w:jc w:val="left"/>
      <w:outlineLvl w:val="0"/>
    </w:pPr>
    <w:rPr>
      <w:rFonts w:cstheme="majorBidi" w:ascii="Cambria" w:hAnsi="Cambria" w:eastAsia="Cambria" w:cs="Cambria"/>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80" w:line="240" w:lineRule="auto"/>
      <w:ind w:firstLine="0"/>
      <w:jc w:val="left"/>
      <w:outlineLvl w:val="1"/>
    </w:pPr>
    <w:rPr>
      <w:rFonts w:cstheme="majorBidi" w:ascii="Cambria" w:hAnsi="Cambria" w:eastAsia="Cambria" w:cs="Cambria"/>
      <w:b/>
      <w:bCs/>
      <w:i/>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80" w:line="240" w:lineRule="auto" w:before="0"/>
      <w:ind w:firstLine="0"/>
      <w:contextualSpacing/>
      <w:jc w:val="center"/>
    </w:pPr>
    <w:rPr>
      <w:rFonts w:cstheme="majorBidi" w:ascii="Cambria" w:hAnsi="Cambria" w:eastAsia="Cambria" w:cs="Cambria"/>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3"/>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Din Kültürü ve Ahlak Bilgisi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