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Görsel Sanatlar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Görüşülmesi</w:t>
      </w:r>
    </w:p>
    <w:p>
      <w:pPr>
        <w:pStyle w:val="Agenda"/>
        <w:numPr>
          <w:ilvl w:val="0"/>
          <w:numId w:val="90"/>
        </w:numPr>
      </w:pPr>
      <w:r>
        <w:t>Yıllık Planların ve Ortak Hazırlıkların Düzenlenmesi</w:t>
      </w:r>
    </w:p>
    <w:p>
      <w:pPr>
        <w:pStyle w:val="Agenda"/>
        <w:numPr>
          <w:ilvl w:val="0"/>
          <w:numId w:val="90"/>
        </w:numPr>
      </w:pPr>
      <w:r>
        <w:t>Atölye Düzeninin ve Malzeme Güvenliğinin Sağlanması</w:t>
      </w:r>
    </w:p>
    <w:p>
      <w:pPr>
        <w:pStyle w:val="Agenda"/>
        <w:numPr>
          <w:ilvl w:val="0"/>
          <w:numId w:val="90"/>
        </w:numPr>
      </w:pPr>
      <w:r>
        <w:t>Gözlem ve Görsel Anlatım Çalışmalarının Planlanması</w:t>
      </w:r>
    </w:p>
    <w:p>
      <w:pPr>
        <w:pStyle w:val="Agenda"/>
        <w:numPr>
          <w:ilvl w:val="0"/>
          <w:numId w:val="90"/>
        </w:numPr>
      </w:pPr>
      <w:r>
        <w:t>Sanat Eseri İnceleme ve Eleştiri Dilinin Geliştirilmesi</w:t>
      </w:r>
    </w:p>
    <w:p>
      <w:pPr>
        <w:pStyle w:val="Agenda"/>
        <w:numPr>
          <w:ilvl w:val="0"/>
          <w:numId w:val="90"/>
        </w:numPr>
      </w:pPr>
      <w:r>
        <w:t>Kültürel Miras ve Müze Çalışmalarının Görüşülmesi</w:t>
      </w:r>
    </w:p>
    <w:p>
      <w:pPr>
        <w:pStyle w:val="Agenda"/>
        <w:numPr>
          <w:ilvl w:val="0"/>
          <w:numId w:val="90"/>
        </w:numPr>
      </w:pPr>
      <w:r>
        <w:t>Dijital Üretim ve Özgünlük Esaslarının Belirlenmesi</w:t>
      </w:r>
    </w:p>
    <w:p>
      <w:pPr>
        <w:pStyle w:val="Agenda"/>
        <w:numPr>
          <w:ilvl w:val="0"/>
          <w:numId w:val="90"/>
        </w:numPr>
      </w:pPr>
      <w:r>
        <w:t>Ölçme ve Değerlendirme Ölçütlerinin Görüşülmesi</w:t>
      </w:r>
    </w:p>
    <w:p>
      <w:pPr>
        <w:pStyle w:val="Agenda"/>
        <w:numPr>
          <w:ilvl w:val="0"/>
          <w:numId w:val="90"/>
        </w:numPr>
      </w:pPr>
      <w:r>
        <w:t>Farklılaştırma ve BEP Çalışmalarının Düzenlenmesi</w:t>
      </w:r>
    </w:p>
    <w:p>
      <w:pPr>
        <w:pStyle w:val="Agenda"/>
        <w:numPr>
          <w:ilvl w:val="0"/>
          <w:numId w:val="90"/>
        </w:numPr>
      </w:pPr>
      <w:r>
        <w:t>Sergi ve Okul Etkinliklerinin Planlanması</w:t>
      </w:r>
    </w:p>
    <w:p>
      <w:pPr>
        <w:pStyle w:val="Agenda"/>
        <w:numPr>
          <w:ilvl w:val="0"/>
          <w:numId w:val="90"/>
        </w:numPr>
      </w:pPr>
      <w:r>
        <w:t>Son Görüşlerin Alınması ve Toplantının Kapatılması</w:t>
      </w:r>
    </w:p>
    <w:p>
      <w:pPr>
        <w:pStyle w:val="Heading1"/>
        <w:pageBreakBefore/>
      </w:pPr>
      <w:r>
        <w:t>Gündem Maddelerinin Görüşülmesi</w:t>
      </w:r>
    </w:p>
    <w:p>
      <w:pPr>
        <w:pStyle w:val="Heading2"/>
      </w:pPr>
      <w:r>
        <w:t>1. Açılışın Yapılması ve Gündemin Kabul Edilmesi</w:t>
      </w:r>
    </w:p>
    <w:p>
      <w:r>
        <w:t>...................... Lisesi Görsel Sanatlar zümre öğretmenler kurulu, ...................... tarihinde saat ......................’de ...................... başkanlığında toplandı. Üyelerin hazır olduğu görüldü. Yazmanlık görevini ...................... üstlendi. Yeni eğitim öğretim yılına ilişkin gündem okunarak kabul edildi.</w:t>
      </w:r>
    </w:p>
    <w:p>
      <w:r>
        <w:t>Zümre başkanı, derslerin yalnızca resim tamamlama saatine dönüşmemesi gerektiğini belirtti. Öğretmen ......................, öğrencilerin eserler hakkında konuşmasına ve kendi tasarım kararlarını açıklamasına zaman ayrılmasını önerdi. Yıllık hazırlıkların üretim ve eser inceleme çalışmalarını birlikte kapsaması kararlaştırıldı.</w:t>
      </w:r>
    </w:p>
    <w:p>
      <w:pPr>
        <w:pStyle w:val="Heading2"/>
      </w:pPr>
      <w:r>
        <w:t>2. Mevzuatın ve Türkiye Yüzyılı Maarif Modeli’nin Görüşülmesi</w:t>
      </w:r>
    </w:p>
    <w:p>
      <w:r>
        <w:t>Ortaöğretim Kurumları Yönetmeliği, Eğitim Kurulları ve Zümreleri Yönergesi ve yürürlükteki ders programı görüşüldü. 2026–2027 yılında hazırlık bulunan okullarda hazırlık ile 9, 10 ve 11. sınıflarda Türkiye Yüzyılı Maarif Modeli’nin, 12. sınıfta önceki programın esas alınması kararlaştırıldı.</w:t>
      </w:r>
    </w:p>
    <w:p>
      <w:r>
        <w:t>Yeni programdaki sanat tarihi, sanat eleştirisi, estetik ve sanatsal uygulamalar ilişkisinin ders hazırlıklarına yansıtılması kabul edildi. Öğrenme çıktıları ve süreç bileşenlerinin birlikte incelenmesi, sorumluluk ve saygının ortak araç kullanımı ve eser yorumlama sırasında somut davranışlarla ele alınması kararlaştırıldı.</w:t>
      </w:r>
    </w:p>
    <w:p>
      <w:pPr>
        <w:pStyle w:val="Heading2"/>
      </w:pPr>
      <w:r>
        <w:t>3. Yıllık Planların ve Ortak Hazırlıkların Düzenlenmesi</w:t>
      </w:r>
    </w:p>
    <w:p>
      <w:r>
        <w:t>Sanata Bakış, Çizgiden Boyuta, Zamanın İzinde Sanat ve Sanat ve Teknoloji Evreni temalarının ilgili sınıf kapsamları görüşüldü. Çalışmaların sınıf düzeyindeki süre ve öğrenme çıktılarına göre hazırlanması, 12. sınıf için ayrı program kontrolü yapılması kararlaştırıldı.</w:t>
      </w:r>
    </w:p>
    <w:p>
      <w:r>
        <w:t>Öğretmenlerin tema öncesinde örnek eserleri ve malzeme ihtiyaçlarını paylaşması kabul edildi. Ortak konu işlenirken bütün şubelerden birbirinin aynısı ürünler beklenmemesi, öğrencilerin konuya uygun farklı anlatım yolları geliştirmesine imkân verilmesi kararlaştırıldı. Okul temelli çalışmaların programın ayırdığı zaman içinde düzenlenmesi kabul edildi.</w:t>
      </w:r>
    </w:p>
    <w:p>
      <w:pPr>
        <w:pStyle w:val="Heading2"/>
      </w:pPr>
      <w:r>
        <w:t>4. Atölye Düzeninin ve Malzeme Güvenliğinin Sağlanması</w:t>
      </w:r>
    </w:p>
    <w:p>
      <w:r>
        <w:t>Çalışma alanı, aydınlatma, havalandırma ve ürünlerin kurutulacağı yerlerin dersler başlamadan kontrol edilmesi görüşüldü. Kesici araçların öğretmen gözetiminde kullanılması, solvent ve sprey gibi riskli malzemeler yerine okul şartlarına uygun güvenli seçeneklerin tercih edilmesi kararlaştırıldı.</w:t>
      </w:r>
    </w:p>
    <w:p>
      <w:r>
        <w:t>Ortak araçların teslim ve temizlik düzeninin öğrencilere açıklanması kabul edildi. Malzemeye erişemeyen öğrencilerin okul imkânlarıyla desteklenmesi, pahalı marka ve setlerin zorunlu tutulmaması kararlaştırıldı. Geri kazanılmış malzemelerin temiz, keskin kenarsız ve kullanım amacına uygun olmasının kontrol edilmesi kabul edildi.</w:t>
      </w:r>
    </w:p>
    <w:p>
      <w:pPr>
        <w:pStyle w:val="Heading2"/>
      </w:pPr>
      <w:r>
        <w:t>5. Gözlem ve Görsel Anlatım Çalışmalarının Planlanması</w:t>
      </w:r>
    </w:p>
    <w:p>
      <w:r>
        <w:t>Öğrencilerin çizgi, biçim, renk, doku ve mekân ilişkilerini kısa gözlem çalışmalarıyla araştırması görüşüldü. Yakın çevredeki nesnelerden hareketle farklı kompozisyon denemeleri yapılması ve öğrencinin seçtiği düzeni açıklaması kararlaştırıldı.</w:t>
      </w:r>
    </w:p>
    <w:p>
      <w:r>
        <w:t>Teknik gösterimin ardından bağımsız denemeye geçilmesi, öğretmenin öğrencinin resmini onun yerine düzeltmemesi kabul edildi. Eskizlerin atılmaması, üretim dosyasında saklanarak son ürünle karşılaştırılması kararlaştırıldı. Perspektif ve ışık gibi konuların ilgili sınıfın program kapsamına göre örneklerle çalışılması kabul edildi.</w:t>
      </w:r>
    </w:p>
    <w:p>
      <w:pPr>
        <w:pStyle w:val="Heading2"/>
      </w:pPr>
      <w:r>
        <w:t>6. Sanat Eseri İnceleme ve Eleştiri Dilinin Geliştirilmesi</w:t>
      </w:r>
    </w:p>
    <w:p>
      <w:r>
        <w:t>Eser incelemelerinde önce görülen özelliklerin betimlenmesi, ardından kompozisyonun ve anlatımın tartışılması görüşüldü. Öğrencilerin yorumlarını eserde gördükleri ayrıntılara dayandırması, sanatçı ve dönem bilgileriyle kişisel yorumun birbirinden ayrılması kararlaştırıldı.</w:t>
      </w:r>
    </w:p>
    <w:p>
      <w:r>
        <w:t>Yerli ve yabancı sanatçıların uygun örneklerinin karşılaştırılması kabul edildi. Akran değerlendirmesinde kişiye yönelik yargılardan kaçınılması, önerilerin kullanılan renk, düzen veya anlatım tercihiyle ilişkilendirilmesi kararlaştırıldı. Farklı beğenilerin tek bir doğru yoruma zorlanmaması kabul edildi.</w:t>
      </w:r>
    </w:p>
    <w:p>
      <w:pPr>
        <w:pStyle w:val="Heading2"/>
      </w:pPr>
      <w:r>
        <w:t>7. Kültürel Miras ve Müze Çalışmalarının Görüşülmesi</w:t>
      </w:r>
    </w:p>
    <w:p>
      <w:r>
        <w:t>Türk sanatının ve yakın çevredeki kültürel mirasın ilgili temalarla ilişkilendirilmesi görüşüldü. Motiflerin yalnız kopyalanması yerine işlevi, malzemesi ve ait olduğu çevreyle birlikte incelenmesi kararlaştırıldı. Atatürk’ün sanata verdiği önem ve Cumhuriyet dönemi sanat çalışmalarının uygun örneklerle ele alınması kabul edildi.</w:t>
      </w:r>
    </w:p>
    <w:p>
      <w:r>
        <w:t>Müze veya galeri çalışmasının izin, ulaşım ve erişilebilirlik şartlarına göre planlanması kararlaştırıldı. Gezi yapılamadığında güvenilir sanal müze kaynakları ve basılı görseller kullanılması, inceleme öncesinde kısa gözlem soruları hazırlanması kabul edildi.</w:t>
      </w:r>
    </w:p>
    <w:p>
      <w:pPr>
        <w:pStyle w:val="Heading2"/>
      </w:pPr>
      <w:r>
        <w:t>8. Dijital Üretim ve Özgünlük Esaslarının Belirlenmesi</w:t>
      </w:r>
    </w:p>
    <w:p>
      <w:r>
        <w:t>İlgili sınıf programında yer alan dijital tasarım çalışmalarında fikir geliştirme, taslak hazırlama ve düzenleme aşamalarının görünür olması görüşüldü. Hazır görseli değiştirmeden teslim etmenin özgün çalışma sayılmaması, kullanılan kaynak ve araçların belirtilmesi kararlaştırıldı.</w:t>
      </w:r>
    </w:p>
    <w:p>
      <w:r>
        <w:t>Yapay zekâ destekli bir araç kullanıldığında öğrencinin katkısını açıklaması ve kişisel verileri sisteme yüklememesi kabul edildi. Ücretli uygulama veya kişisel telefon zorunluluğu getirilmemesi, erişim bulunmadığında aynı amacı karşılayan kâğıt üzerinde tasarım seçeneği sunulması kararlaştırıldı.</w:t>
      </w:r>
    </w:p>
    <w:p>
      <w:pPr>
        <w:pStyle w:val="Heading2"/>
      </w:pPr>
      <w:r>
        <w:t>9. Ölçme ve Değerlendirme Ölçütlerinin Görüşülmesi</w:t>
      </w:r>
    </w:p>
    <w:p>
      <w:r>
        <w:t>Değerlendirmede verilen amaca uygunluk, görsel anlatım tercihleri, teknik kullanımı ve geliştirme sürecinin açık ölçütlerle ele alınması görüşüldü. Ölçütlerin çalışma başında açıklanması, yalnız doğuştan yetenek veya gerçekçi çizime benzerlik üzerinden not verilmemesi kararlaştırıldı.</w:t>
      </w:r>
    </w:p>
    <w:p>
      <w:r>
        <w:t>Eskiz, ara deneme ve son ürünün birlikte incelenmesi kabul edildi. Öğretmenlerin kimlik bilgileri çıkarılmış örneklerle puanlama anlayışlarını karşılaştırması, uygulamalı değerlendirme ve e-Okul kayıtlarında yürürlükteki esasları izlemesi kararlaştırıldı. Malzemenin pahalı olmasının puan üstünlüğü sağlamaması kabul edildi.</w:t>
      </w:r>
    </w:p>
    <w:p>
      <w:pPr>
        <w:pStyle w:val="Heading2"/>
      </w:pPr>
      <w:r>
        <w:t>10. Farklılaştırma ve BEP Çalışmalarının Düzenlenmesi</w:t>
      </w:r>
    </w:p>
    <w:p>
      <w:r>
        <w:t>Yönergelerin kısa aşamalar hâlinde sunulması, araç tutuşu veya görsel ayrıntıları ayırt etmede güçlük yaşayan öğrenciler için uygun düzenlemeler yapılması görüşüldü. BEP kapsamındaki hedef ve değerlendirme uyarlamalarının ilgili birim kararlarıyla yürütülmesi kararlaştırıldı.</w:t>
      </w:r>
    </w:p>
    <w:p>
      <w:r>
        <w:t>Desteğin öğrencinin yerine ürün hazırlamaya dönüşmemesi kabul edildi. İleri düzey öğrencilerin farklı teknikleri karşılaştırabileceği ve tasarım sorununa birden fazla çözüm üretebileceği görevler hazırlanması kararlaştırıldı. Grupların sabit yetenek etiketleriyle oluşturulmaması ve öğrenci bilgilerinin gizli tutulması kabul edildi.</w:t>
      </w:r>
    </w:p>
    <w:p>
      <w:pPr>
        <w:pStyle w:val="Heading2"/>
        <w:pageBreakBefore/>
      </w:pPr>
      <w:r>
        <w:t>11. Sergi ve Okul Etkinliklerinin Planlanması</w:t>
      </w:r>
    </w:p>
    <w:p>
      <w:r>
        <w:t>Okul sergisinde tamamlanmış ürünlerin yanında uygun eskizlerin de yer alması görüşüldü. Farklı sınıflara ve farklı anlatım biçimlerine yer verilmesi, seçimlerin yalnız en düzgün çizimlere dayanmaması kararlaştırıldı. Ürün etiketlerinin anlaşılır hazırlanması kabul edildi.</w:t>
      </w:r>
    </w:p>
    <w:p>
      <w:r>
        <w:t>Millî bayram ve belirli gün çalışmalarının diğer branşlarla önceden planlanması kararlaştırıldı. Pano hazırlıklarının dersin bütün süresini kaplamaması, öğrenci eserlerinin ve fotoğraflarının paylaşımında izin esaslarına uyulması kabul edildi. Sergi sonunda eserlerin öğrencilere düzenli biçimde iade edilmesi kararlaştırıldı.</w:t>
      </w:r>
    </w:p>
    <w:p>
      <w:pPr>
        <w:pStyle w:val="Heading2"/>
      </w:pPr>
      <w:r>
        <w:t>12. Son Görüşlerin Alınması ve Toplantının Kapatılması</w:t>
      </w:r>
    </w:p>
    <w:p>
      <w:pPr>
        <w:keepNext/>
        <w:keepLines/>
      </w:pPr>
      <w:r>
        <w:t>Öğretmenler, araç eksiklerinin ve ortak alan kullanımının zümre içinde düzenli görüşülmesini istedi. Sınıflarda işe yarayan uygulamaların kişisel bilgiler çıkarılarak paylaşılması, kararların yıllık plan ve ders hazırlıklarına yansıtılması kararlaştırıldı.</w:t>
      </w:r>
    </w:p>
    <w:p>
      <w:pPr>
        <w:keepNext/>
        <w:keepLines/>
      </w:pPr>
      <w:r>
        <w:t>Gündemdeki bütün maddeler görüşülerek kararlar oybirliğiyle kabul edildi. Okul müdürünün onayından sonra uygulanmasına karar verildi. Başka söz alan olmadığından toplantı saat ......................’de kapatıldı.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