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Matematik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Öğrenme Önceliklerinin Görüşülmesi</w:t>
      </w:r>
    </w:p>
    <w:p>
      <w:pPr>
        <w:pStyle w:val="Agenda"/>
        <w:numPr>
          <w:ilvl w:val="0"/>
          <w:numId w:val="90"/>
        </w:numPr>
      </w:pPr>
      <w:r>
        <w:t>Türkiye Yüzyılı Maarif Modeli ve Yıllık Planların Görüşülmesi</w:t>
      </w:r>
    </w:p>
    <w:p>
      <w:pPr>
        <w:pStyle w:val="Agenda"/>
        <w:numPr>
          <w:ilvl w:val="0"/>
          <w:numId w:val="90"/>
        </w:numPr>
      </w:pPr>
      <w:r>
        <w:t>Ön Bilgilerin ve Hata Nedenlerinin Belirlenmesi</w:t>
      </w:r>
    </w:p>
    <w:p>
      <w:pPr>
        <w:pStyle w:val="Agenda"/>
        <w:numPr>
          <w:ilvl w:val="0"/>
          <w:numId w:val="90"/>
        </w:numPr>
      </w:pPr>
      <w:r>
        <w:t>Problem Dilinin Anlaşılmasının ve Temsil Kullanımının Desteklenmesi</w:t>
      </w:r>
    </w:p>
    <w:p>
      <w:pPr>
        <w:pStyle w:val="Agenda"/>
        <w:numPr>
          <w:ilvl w:val="0"/>
          <w:numId w:val="90"/>
        </w:numPr>
      </w:pPr>
      <w:r>
        <w:t>Cebirsel İşlem ve Fonksiyon Çalışmalarının Düzenlenmesi</w:t>
      </w:r>
    </w:p>
    <w:p>
      <w:pPr>
        <w:pStyle w:val="Agenda"/>
        <w:numPr>
          <w:ilvl w:val="0"/>
          <w:numId w:val="90"/>
        </w:numPr>
      </w:pPr>
      <w:r>
        <w:t>Geometrik Düşünmenin Geliştirilmesi</w:t>
      </w:r>
    </w:p>
    <w:p>
      <w:pPr>
        <w:pStyle w:val="Agenda"/>
        <w:numPr>
          <w:ilvl w:val="0"/>
          <w:numId w:val="90"/>
        </w:numPr>
      </w:pPr>
      <w:r>
        <w:t>Veri Okuryazarlığı ve Modelleme Çalışmalarının Planlanması</w:t>
      </w:r>
    </w:p>
    <w:p>
      <w:pPr>
        <w:pStyle w:val="Agenda"/>
        <w:numPr>
          <w:ilvl w:val="0"/>
          <w:numId w:val="90"/>
        </w:numPr>
      </w:pPr>
      <w:r>
        <w:t>Kısa Geri Bildirim ve Esnek Destek Gruplarının Oluşturulması</w:t>
      </w:r>
    </w:p>
    <w:p>
      <w:pPr>
        <w:pStyle w:val="Agenda"/>
        <w:numPr>
          <w:ilvl w:val="0"/>
          <w:numId w:val="90"/>
        </w:numPr>
      </w:pPr>
      <w:r>
        <w:t>Sınavlar ve Adil Puanlamanın Görüşülmesi</w:t>
      </w:r>
    </w:p>
    <w:p>
      <w:pPr>
        <w:pStyle w:val="Agenda"/>
        <w:numPr>
          <w:ilvl w:val="0"/>
          <w:numId w:val="90"/>
        </w:numPr>
      </w:pPr>
      <w:r>
        <w:t>BEP, Zenginleştirme ve Öğrenci Güveninin Desteklenmesi</w:t>
      </w:r>
    </w:p>
    <w:p>
      <w:pPr>
        <w:pStyle w:val="Agenda"/>
        <w:numPr>
          <w:ilvl w:val="0"/>
          <w:numId w:val="90"/>
        </w:numPr>
      </w:pPr>
      <w:r>
        <w:t>Proje, Aile ve Üniversiteye Hazırlık Çalışmalarının Görüşülmesi</w:t>
      </w:r>
    </w:p>
    <w:p>
      <w:pPr>
        <w:pStyle w:val="Agenda"/>
        <w:numPr>
          <w:ilvl w:val="0"/>
          <w:numId w:val="90"/>
        </w:numPr>
      </w:pPr>
      <w:r>
        <w:t>Ortak Değerlendirme ve Kapanışın Yapılması</w:t>
      </w:r>
    </w:p>
    <w:p>
      <w:pPr>
        <w:pStyle w:val="Heading1"/>
        <w:pageBreakBefore/>
      </w:pPr>
      <w:r>
        <w:t>Gündem Maddelerinin Görüşülmesi</w:t>
      </w:r>
    </w:p>
    <w:p>
      <w:pPr>
        <w:pStyle w:val="Heading2"/>
      </w:pPr>
      <w:r>
        <w:t>1. Açılışın Yapılması ve Öğrenme Önceliklerinin Görüşülmesi</w:t>
      </w:r>
    </w:p>
    <w:p>
      <w:r>
        <w:t>...................... Lisesi matematik zümresi, ...................... tarihinde saat ......................’de ...................... başkanlığında toplandı. Yoklama yapıldı ve tutanağın ...................... tarafından yazılması kabul edildi. Duyurulan gündemin öğrencilerin matematiksel düşünmesini ve öğrenme desteğini birlikte ele alacak biçimde görüşülmesi kararlaştırıldı.</w:t>
      </w:r>
    </w:p>
    <w:p>
      <w:r>
        <w:t>Öğretmen ......................, aynı soruda yapılan yanlışların farklı nedenleri olabileceğini belirtti. Öğrencinin yalnız sonucunun değil okuma, model kurma ve işlem adımlarının incelenmesi; desteğin belirlenen güçlüğe göre hazırlanması kararlaştırıldı.</w:t>
      </w:r>
    </w:p>
    <w:p>
      <w:pPr>
        <w:pStyle w:val="Heading2"/>
      </w:pPr>
      <w:r>
        <w:t>2. Türkiye Yüzyılı Maarif Modeli ve Yıllık Planların Görüşülmesi</w:t>
      </w:r>
    </w:p>
    <w:p>
      <w:r>
        <w:t>2026–2027 yılında 9, 10 ve 11. sınıflarda Türkiye Yüzyılı Maarif Modeli’nin uygulanması, 12. sınıfta önceki programın sürdürülmesi görüşüldü. Destek çalışmalarının ilgili sınıfın öğrenme çıktısı veya kazanımına bağlı yürütülmesi, dersin amaçlarından kopuk tekrar listeleri hazırlanmaması kararlaştırıldı.</w:t>
      </w:r>
    </w:p>
    <w:p>
      <w:r>
        <w:t>Bakanlığın yıllık planları ve okul türüne özgü açıklamalarının çalışma takvimiyle karşılaştırılması kabul edildi. Temel matematik okutulan sınıflarda ayrı programın esas alınması, modeldeki destekleme ve zenginleştirmenin ders hazırlıklarında görünür hâle getirilmesi kararlaştırıldı.</w:t>
      </w:r>
    </w:p>
    <w:p>
      <w:pPr>
        <w:pStyle w:val="Heading2"/>
      </w:pPr>
      <w:r>
        <w:t>3. Ön Bilgilerin ve Hata Nedenlerinin Belirlenmesi</w:t>
      </w:r>
    </w:p>
    <w:p>
      <w:r>
        <w:t>Tema başlarında kısa cevap, çizim ve öğrencinin sesli açıklamasından yararlanılması görüşüldü. Kesir, negatif sayı, eşitlik veya grafik okuma güçlüğünün yeni konuya etkisinin belirlenmesi kararlaştırıldı. Başlangıç çalışmalarının öğrenciyi etiketleme ve sınıfları sıralama amacıyla kullanılmaması kabul edildi.</w:t>
      </w:r>
    </w:p>
    <w:p>
      <w:r>
        <w:t>Aynı yanlışın dikkatsizlikten mi yoksa kavramı farklı anlamaktan mı kaynaklandığının örneklerle araştırılması kararlaştırıldı. Öncelikli destek ihtiyacının sınıf bazında kaydedilmesi, öğretmen paylaşımında öğrenci adlarının kaldırılması kabul edildi.</w:t>
      </w:r>
    </w:p>
    <w:p>
      <w:pPr>
        <w:pStyle w:val="Heading2"/>
      </w:pPr>
      <w:r>
        <w:t>4. Problem Dilinin Anlaşılmasının ve Temsil Kullanımının Desteklenmesi</w:t>
      </w:r>
    </w:p>
    <w:p>
      <w:r>
        <w:t>Öğrencilerin uzun soru metninde hangi bilginin gerekli olduğunu seçmekte zorlanabilecekleri görüşüldü. Problemi kendi cümleleriyle anlatma, verilenleri ayırma ve uygun şekil ya da tablo oluşturma çalışmaları yapılması kararlaştırıldı. Yalnız anahtar kelime ezberleterek işlem seçtirilmemesi kabul edildi.</w:t>
      </w:r>
    </w:p>
    <w:p>
      <w:r>
        <w:t>Önce basit bir bağlamda kurulan ilişkinin yeni bağlama aktarılması, sonucun anlamının öğrenciden sorulması kararlaştırıldı. Sözel açıklamada zorlanan öğrencilere çizimle başlama imkânı tanınması ve matematiksel dile aşamalı geçilmesi kabul edildi.</w:t>
      </w:r>
    </w:p>
    <w:p>
      <w:pPr>
        <w:pStyle w:val="Heading2"/>
      </w:pPr>
      <w:r>
        <w:t>5. Cebirsel İşlem ve Fonksiyon Çalışmalarının Düzenlenmesi</w:t>
      </w:r>
    </w:p>
    <w:p>
      <w:r>
        <w:t>Eşitliğin iki tarafına yapılan işlemlerin nedeninin açıklanması, işaret hatalarının sayı doğrusu ve somut örneklerle ele alınması görüşüldü. Tam çözülmüş bir örnekten eksik adımlı soruya, ardından bağımsız çözüme geçilmesi kararlaştırıldı. Yardımın öğrencinin ilerlemesine göre azaltılması kabul edildi.</w:t>
      </w:r>
    </w:p>
    <w:p>
      <w:r>
        <w:t>Program kapsamında fonksiyonun farklı gösterimlerinin karşılaştırılması, grafikteki bir noktanın neyi ifade ettiğinin açıklatılması kararlaştırıldı. Öğrencinin doğru işlem yaptığı hâlde değişkenin anlamını açıklayamadığı durumlarda tablo ve bağlam desteğine dönülmesi kabul edildi.</w:t>
      </w:r>
    </w:p>
    <w:p>
      <w:pPr>
        <w:pStyle w:val="Heading2"/>
      </w:pPr>
      <w:r>
        <w:t>6. Geometrik Düşünmenin Geliştirilmesi</w:t>
      </w:r>
    </w:p>
    <w:p>
      <w:r>
        <w:t>Şekli yeniden çizme ve verilen özellikleri işaretlemenin çözümü kolaylaştıracağı görüşüldü. Şeklin ölçeksiz olabileceğinin hatırlatılması, görünüşe dayanarak eşitlik veya diklik kabul edilmemesi kararlaştırıldı. Gerekçeli çözümde hangi özelliğin kullanıldığının öğrenciden açıklamasının istenmesi kabul edildi.</w:t>
      </w:r>
    </w:p>
    <w:p>
      <w:r>
        <w:t>Görsel materyal ve uygun dijital araçlarla ilişki araştırılması, gözlenen durumun ilgili bilgiyle gerekçelendirilmesi kararlaştırıldı. Zorlanan öğrencilere aynı anda çok sayıda yardımcı çizgi sunmak yerine çözümü ilerleten tek bir ipucuyla başlanması kabul edildi.</w:t>
      </w:r>
    </w:p>
    <w:p>
      <w:pPr>
        <w:pStyle w:val="Heading2"/>
      </w:pPr>
      <w:r>
        <w:t>7. Veri Okuryazarlığı ve Modelleme Çalışmalarının Planlanması</w:t>
      </w:r>
    </w:p>
    <w:p>
      <w:r>
        <w:t>İstatistik çalışmalarında önce tabloyu doğru okuma, ardından karşılaştırma ve yorumlama yapılması görüşüldü. On birinci sınıf araştırma sürecinde soru, veri ve sonuç ilişkisinin korunması; örneklemin sınırlarının ifade edilmesi kararlaştırıldı. Yanıltıcı ölçeklerle hazırlanmış grafiklerin tartışılması kabul edildi.</w:t>
      </w:r>
    </w:p>
    <w:p>
      <w:r>
        <w:t>Günlük yaşam problemlerinde kullanılan varsayımların açıkça yazılması ve ölçü birimlerinin kontrol edilmesi kararlaştırıldı. Öğrencilerin aile gelirleri veya sağlık bilgileri gibi özel verilerin araştırma konusu yapılmaması, herkese erişilebilir güvenli veri örnekleri kullanılması kabul edildi.</w:t>
      </w:r>
    </w:p>
    <w:p>
      <w:pPr>
        <w:pStyle w:val="Heading2"/>
      </w:pPr>
      <w:r>
        <w:t>8. Kısa Geri Bildirim ve Esnek Destek Gruplarının Oluşturulması</w:t>
      </w:r>
    </w:p>
    <w:p>
      <w:r>
        <w:t>Ders sonunda tek bir kritik beceriyi gösteren kısa görevlerden yararlanılması görüşüldü. Sonuçlara göre geçici küçük gruplar kurulması, grupların sonraki çalışmalarda yeniden düzenlenmesi kararlaştırıldı. Desteğin yalnız ek ödev sayısını artırmak şeklinde yürütülmemesi kabul edildi.</w:t>
      </w:r>
    </w:p>
    <w:p>
      <w:r>
        <w:t>Dört haftalık uygulamanın sonunda benzer fakat aynı olmayan görevlerle gelişimin değerlendirilmesi kararlaştırıldı. İlerleme görülmediğinde kullanılan açıklama ve materyalin değiştirilmesi, öğretmenlerin işe yarayan örnekleri paylaşması kabul edildi. Öğrenciye kendi ilerlemesinin somut bir çözüm üzerinden gösterilmesi kararlaştırıldı.</w:t>
      </w:r>
    </w:p>
    <w:p>
      <w:pPr>
        <w:pStyle w:val="Heading2"/>
      </w:pPr>
      <w:r>
        <w:t>9. Sınavlar ve Adil Puanlamanın Görüşülmesi</w:t>
      </w:r>
    </w:p>
    <w:p>
      <w:r>
        <w:t>Güncel mevzuat, konu soru dağılım tabloları ve ortak sınav açıklamalarına uygun yazılı hazırlığı yapılması görüşüldü. Açık uçlu veya açık uçlu ve kısa cevaplı soruların puanlama anahtarlarıyla birlikte hazırlanması kararlaştırıldı. Soru dilinin gereksiz uzunluk ve belirsizlikten arındırılması kabul edildi.</w:t>
      </w:r>
    </w:p>
    <w:p>
      <w:r>
        <w:t>Doğru düşünme adımlarına uygun puan verilmesi, alternatif geçerli yolların kabul edilmesi kararlaştırıldı. Sınav sonuçlarının yalnız ortalama olarak değil beceri bazında ele alınması, yapılan desteğin sonraki öğrenmeye etkisinin incelenmesi kabul edildi.</w:t>
      </w:r>
    </w:p>
    <w:p>
      <w:pPr>
        <w:pStyle w:val="Heading2"/>
      </w:pPr>
      <w:r>
        <w:t>10. BEP, Zenginleştirme ve Öğrenci Güveninin Desteklenmesi</w:t>
      </w:r>
    </w:p>
    <w:p>
      <w:r>
        <w:t>BEP gerektiren öğrenciler için ilgili birim kararlarına uygun amaç ve değerlendirme düzenlemeleri yapılması görüşüldü. Olağan öğrenme desteğiyle BEP’in birbirinin yerine kullanılmaması, özel bilgilerin gizliliğinin korunması kararlaştırıldı.</w:t>
      </w:r>
    </w:p>
    <w:p>
      <w:r>
        <w:t>İleri düzeyde çalışan öğrencilere bir önermenin koşullarını değiştirme veya farklı çözüm geliştirme görevi verilmesi kabul edildi. Bu öğrencilerin sürekli yardımcı öğretmen rolüne sokulmaması; hata yapan öğrencilerin sınıf önünde utandırılmaması ve açıklama için düşünme süresi tanınması kararlaştırıldı.</w:t>
      </w:r>
    </w:p>
    <w:p>
      <w:pPr>
        <w:pStyle w:val="Heading2"/>
      </w:pPr>
      <w:r>
        <w:t>11. Proje, Aile ve Üniversiteye Hazırlık Çalışmalarının Görüşülmesi</w:t>
      </w:r>
    </w:p>
    <w:p>
      <w:r>
        <w:t>Proje ve performans görevlerinde öğrencinin kendi emeğinin aşamalar hâlinde görülmesi görüşüldü. Değerlendirme ölçütlerinin baştan açıklanması, hazır dijital çözümün özgün çalışma sayılmaması ve kaynakların belirtilmesi kararlaştırıldı. Erdem-değer-eylem kapsamında dürüstlük ve sorumluluğun çalışmalarla ilişkilendirilmesi kabul edildi.</w:t>
      </w:r>
    </w:p>
    <w:p>
      <w:r>
        <w:t>On ikinci sınıfta programın korunarak resmî örnek sorularla gerekçeli çözüm yapılması kararlaştırıldı. Aile görüşmelerinde küçük çalışma hedeflerinin açıklanması, sınav kaygısında rehberlik desteği sağlanması ve ücretli materyal zorunluluğu oluşturulmaması kabul edildi.</w:t>
      </w:r>
    </w:p>
    <w:p>
      <w:pPr>
        <w:pStyle w:val="Heading2"/>
      </w:pPr>
      <w:r>
        <w:t>12. Ortak Değerlendirme ve Kapanışın Yapılması</w:t>
      </w:r>
    </w:p>
    <w:p>
      <w:pPr>
        <w:keepNext/>
        <w:keepLines/>
      </w:pPr>
      <w:r>
        <w:t>Öğretmenlerin destek öncesi ve sonrası çalışma örneklerini kişisel bilgiler olmadan paylaşması kararlaştırıldı. Ders ziyaretlerinin üyelerin görüş birliği ve ilgili esaslar doğrultusunda planlanması, ziyaretlerde verilen yardımın öğrenciyi bağımsız çözüme yaklaştırmasına odaklanılması kabul edildi.</w:t>
      </w:r>
    </w:p>
    <w:p>
      <w:pPr>
        <w:keepNext/>
        <w:keepLines/>
      </w:pPr>
      <w:r>
        <w:t>Gündeme ilişkin kararların tamamı oybirliğiyle kabul edildi. Okul müdürünün onayından sonra uygulamaya başlanmasına karar verildi. Toplantı saat ......................’de sona erdirilerek tutanak okundu ve imzalandı.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52" w:lineRule="auto"/>
      <w:ind w:firstLine="397"/>
      <w:jc w:val="both"/>
    </w:pPr>
    <w:rPr>
      <w:rFonts w:ascii="Cambria" w:hAnsi="Cambria" w:eastAsia="Cambria" w:cs="Cambria"/>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20" w:line="252" w:lineRule="auto"/>
      <w:ind w:firstLine="0"/>
      <w:jc w:val="left"/>
      <w:outlineLvl w:val="0"/>
    </w:pPr>
    <w:rPr>
      <w:rFonts w:cstheme="majorBidi" w:ascii="Cambria" w:hAnsi="Cambria" w:eastAsia="Cambria" w:cs="Cambria"/>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120" w:line="252" w:lineRule="auto"/>
      <w:ind w:firstLine="0"/>
      <w:jc w:val="left"/>
      <w:outlineLvl w:val="1"/>
    </w:pPr>
    <w:rPr>
      <w:rFonts w:cstheme="majorBidi" w:ascii="Cambria" w:hAnsi="Cambria" w:eastAsia="Cambria" w:cs="Cambria"/>
      <w:b/>
      <w:bCs/>
      <w:i/>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20" w:line="252" w:lineRule="auto" w:before="0"/>
      <w:ind w:firstLine="0"/>
      <w:contextualSpacing/>
      <w:jc w:val="center"/>
    </w:pPr>
    <w:rPr>
      <w:rFonts w:cstheme="majorBidi" w:ascii="Cambria" w:hAnsi="Cambria" w:eastAsia="Cambria" w:cs="Cambria"/>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3"/>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Matematik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