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Müzik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Gündemin Kabul Edilmesi</w:t>
      </w:r>
    </w:p>
    <w:p>
      <w:pPr>
        <w:pStyle w:val="Agenda"/>
        <w:numPr>
          <w:ilvl w:val="0"/>
          <w:numId w:val="90"/>
        </w:numPr>
      </w:pPr>
      <w:r>
        <w:t>Mevzuatın ve Türkiye Yüzyılı Maarif Modeli’nin Görüşülmesi</w:t>
      </w:r>
    </w:p>
    <w:p>
      <w:pPr>
        <w:pStyle w:val="Agenda"/>
        <w:numPr>
          <w:ilvl w:val="0"/>
          <w:numId w:val="90"/>
        </w:numPr>
      </w:pPr>
      <w:r>
        <w:t>Yıllık Planların ve Tema Sürelerinin Düzenlenmesi</w:t>
      </w:r>
    </w:p>
    <w:p>
      <w:pPr>
        <w:pStyle w:val="Agenda"/>
        <w:numPr>
          <w:ilvl w:val="0"/>
          <w:numId w:val="90"/>
        </w:numPr>
      </w:pPr>
      <w:r>
        <w:t>Derslik ve Çalgı Kullanım Güvenliğinin Görüşülmesi</w:t>
      </w:r>
    </w:p>
    <w:p>
      <w:pPr>
        <w:pStyle w:val="Agenda"/>
        <w:numPr>
          <w:ilvl w:val="0"/>
          <w:numId w:val="90"/>
        </w:numPr>
      </w:pPr>
      <w:r>
        <w:t>Müzik Dili Çalışmalarının Planlanması</w:t>
      </w:r>
    </w:p>
    <w:p>
      <w:pPr>
        <w:pStyle w:val="Agenda"/>
        <w:numPr>
          <w:ilvl w:val="0"/>
          <w:numId w:val="90"/>
        </w:numPr>
      </w:pPr>
      <w:r>
        <w:t>Ses Eğitimi ve Toplu Söylemenin Düzenlenmesi</w:t>
      </w:r>
    </w:p>
    <w:p>
      <w:pPr>
        <w:pStyle w:val="Agenda"/>
        <w:numPr>
          <w:ilvl w:val="0"/>
          <w:numId w:val="90"/>
        </w:numPr>
      </w:pPr>
      <w:r>
        <w:t>Müzik Kültürü ve Dinleme Çalışmalarının Görüşülmesi</w:t>
      </w:r>
    </w:p>
    <w:p>
      <w:pPr>
        <w:pStyle w:val="Agenda"/>
        <w:numPr>
          <w:ilvl w:val="0"/>
          <w:numId w:val="90"/>
        </w:numPr>
      </w:pPr>
      <w:r>
        <w:t>Müziksel Tasarım ve Yaratıcılık Çalışmalarının Planlanması</w:t>
      </w:r>
    </w:p>
    <w:p>
      <w:pPr>
        <w:pStyle w:val="Agenda"/>
        <w:numPr>
          <w:ilvl w:val="0"/>
          <w:numId w:val="90"/>
        </w:numPr>
      </w:pPr>
      <w:r>
        <w:t>Ölçme ve Değerlendirme Ölçütlerinin Belirlenmesi</w:t>
      </w:r>
    </w:p>
    <w:p>
      <w:pPr>
        <w:pStyle w:val="Agenda"/>
        <w:numPr>
          <w:ilvl w:val="0"/>
          <w:numId w:val="90"/>
        </w:numPr>
      </w:pPr>
      <w:r>
        <w:t>Farklılaştırma ve BEP Uygulamalarının Görüşülmesi</w:t>
      </w:r>
    </w:p>
    <w:p>
      <w:pPr>
        <w:pStyle w:val="Agenda"/>
        <w:numPr>
          <w:ilvl w:val="0"/>
          <w:numId w:val="90"/>
        </w:numPr>
      </w:pPr>
      <w:r>
        <w:t>Törenler ve Okul İçi Müzik Etkinliklerinin Planlanması</w:t>
      </w:r>
    </w:p>
    <w:p>
      <w:pPr>
        <w:pStyle w:val="Agenda"/>
        <w:numPr>
          <w:ilvl w:val="0"/>
          <w:numId w:val="90"/>
        </w:numPr>
      </w:pPr>
      <w:r>
        <w:t>Son Görüşlerin Alınması ve Toplantının Kapatılması</w:t>
      </w:r>
    </w:p>
    <w:p>
      <w:pPr>
        <w:pStyle w:val="Heading1"/>
        <w:pageBreakBefore/>
      </w:pPr>
      <w:r>
        <w:t>Gündem Maddelerinin Görüşülmesi</w:t>
      </w:r>
    </w:p>
    <w:p>
      <w:pPr>
        <w:pStyle w:val="Heading2"/>
      </w:pPr>
      <w:r>
        <w:t>1. Açılışın Yapılması ve Gündemin Kabul Edilmesi</w:t>
      </w:r>
    </w:p>
    <w:p>
      <w:r>
        <w:t>...................... Lisesi Müzik zümre öğretmenler kurulu, ...................... tarihinde saat ......................’de ...................... başkanlığında toplandı. Yoklamada üyelerin hazır olduğu görüldü. Yazmanlık görevini ...................... üstlendi. Yeni eğitim öğretim yılına ilişkin gündem okunarak kabul edildi.</w:t>
      </w:r>
    </w:p>
    <w:p>
      <w:r>
        <w:t>Zümre başkanı, öğrencilerin dinleme, söyleme, çalma ve müziksel tasarım çalışmalarına dengeli biçimde katılmasını istedi. Öğretmenler, ortak repertuvarın sınıfların ses özellikleri ve hazır bulunuşlukları gözetilerek belirlenmesini uygun buldu. Ders araçlarının ve çalışma örneklerinin zümre içinde paylaşılması kararlaştırıldı.</w:t>
      </w:r>
    </w:p>
    <w:p>
      <w:pPr>
        <w:pStyle w:val="Heading2"/>
      </w:pPr>
      <w:r>
        <w:t>2. Mevzuatın ve Türkiye Yüzyılı Maarif Modeli’nin Görüşülmesi</w:t>
      </w:r>
    </w:p>
    <w:p>
      <w:r>
        <w:t>Ortaöğretim Kurumları Yönetmeliği, Eğitim Kurulları ve Zümreleri Yönergesi ile yürürlükteki program görüşüldü. 2026–2027 yılında hazırlık bulunan okullarda hazırlık ile 9, 10 ve 11. sınıflarda Türkiye Yüzyılı Maarif Modeli’nin, 12. sınıfta önceki programın esas alınması kararlaştırıldı.</w:t>
      </w:r>
    </w:p>
    <w:p>
      <w:r>
        <w:t>Programın müziksel ifade, müziksel bilgi ve beceri, müzik kültürü ve birikimi ile müzik estetiği boyutlarının birlikte ele alınması kabul edildi. Öğrenme çıktılarının dinleme ve uygulama yoluyla izlenmesi, saygı ve iş birliğinin toplu çalışmalarda somut davranışlara dönüştürülmesi kararlaştırıldı.</w:t>
      </w:r>
    </w:p>
    <w:p>
      <w:pPr>
        <w:pStyle w:val="Heading2"/>
      </w:pPr>
      <w:r>
        <w:t>3. Yıllık Planların ve Tema Sürelerinin Düzenlenmesi</w:t>
      </w:r>
    </w:p>
    <w:p>
      <w:r>
        <w:t>Müzik Dili, Müzik Kültürü ve Müziksel Tasarım temalarının her sınıf düzeyindeki öğrenme çıktıları ve süreleri görüşüldü. Yıllık planların okul takvimi, haftalık ders çizelgesi ve Bakanlığın taslak çerçeve planlarıyla karşılaştırılması, 12. sınıf için kendi programının kullanılması kararlaştırıldı.</w:t>
      </w:r>
    </w:p>
    <w:p>
      <w:r>
        <w:t>Okul temelli planlama süresinde yerel müzik araştırması, dinleti veya proje çalışmasının sınıf düzeyine göre düzenlenmesi kabul edildi. Belirli gün ve haftaların ilgili öğrenme çıktılarıyla ilişkilendirilmesi, tören provalarının temalardaki asıl çalışmaları sürekli ertelememesi kararlaştırıldı.</w:t>
      </w:r>
    </w:p>
    <w:p>
      <w:pPr>
        <w:pStyle w:val="Heading2"/>
      </w:pPr>
      <w:r>
        <w:t>4. Derslik ve Çalgı Kullanım Güvenliğinin Görüşülmesi</w:t>
      </w:r>
    </w:p>
    <w:p>
      <w:r>
        <w:t>Müzik dersliğinin oturma düzeni, elektrik bağlantıları ve geçiş yollarının kontrol edilmesi görüşüldü. Çalgıların öğrencilere kullanım biçimi gösterildikten sonra verilmesi, hasarlı kablo ve elektronik cihazların kullanılmaması, bakım ihtiyacının okul yönetimine bildirilmesi kararlaştırıldı.</w:t>
      </w:r>
    </w:p>
    <w:p>
      <w:r>
        <w:t>Üflemeli çalgı ağızlıklarının ortak kullanılmaması ve kişisel hijyenin gözetilmesi kabul edildi. Ses düzeyinin işitme sağlığını olumsuz etkilemeyecek biçimde ayarlanması, uzun süre yüksek sesli çalışma yapılmaması ve çalgıların ders sonunda güvenli biçimde toplanması kararlaştırıldı.</w:t>
      </w:r>
    </w:p>
    <w:p>
      <w:pPr>
        <w:pStyle w:val="Heading2"/>
      </w:pPr>
      <w:r>
        <w:t>5. Müzik Dili Çalışmalarının Planlanması</w:t>
      </w:r>
    </w:p>
    <w:p>
      <w:r>
        <w:t>İstiklal Marşı’nın anlamına ve müziksel özelliklerine uygun biçimde söylenmesi, nota ve işaretlerin dinlenen veya seslendirilen eser üzerinde incelenmesi görüşüldü. Ölçü, ritim ve tonal yapı çalışmalarının sınıf programındaki kapsamı aşmadan uygulamayla ilişkilendirilmesi kararlaştırıldı.</w:t>
      </w:r>
    </w:p>
    <w:p>
      <w:r>
        <w:t>Ritim kalıplarının beden vurmalı çalgıları, basit vurmalı çalgılar ve nota yazımıyla desteklenmesi kabul edildi. Öğrencilerin yalnız sembol adlarını ezberlemesi yerine duyduğu yapıyı ayırt etmesi ve kullandığı işareti açıklaması kararlaştırıldı. Yeni kavramların kısa tekrarlarla önceki öğrenmelere bağlanması kabul edildi.</w:t>
      </w:r>
    </w:p>
    <w:p>
      <w:pPr>
        <w:pStyle w:val="Heading2"/>
      </w:pPr>
      <w:r>
        <w:t>6. Ses Eğitimi ve Toplu Söylemenin Düzenlenmesi</w:t>
      </w:r>
    </w:p>
    <w:p>
      <w:r>
        <w:t>Toplu söyleme öncesinde bedenin ve sesin uygun çalışmalarla hazırlanması görüşüldü. Eserlerin öğrencilerin ses sınırlarına göre seçilmesi, sesi zorlayan tonlarda ısrar edilmemesi ve rahatsızlık bildiren öğrencinin yüksek sesle söylemeye zorlanmaması kararlaştırıldı.</w:t>
      </w:r>
    </w:p>
    <w:p>
      <w:r>
        <w:t>Nefes yerleri, giriş ve bitişlerin öğretmen yönetiminde çalışılması kabul edildi. Grupların birbirini dinlemesi, doğru sesi bulmak için bağırmanın önlenmesi ve bireysel hatanın sınıf önünde alay konusu yapılmaması kararlaştırıldı. Ezber çalışmasının sözlerin anlamı ve müziksel anlatımla birlikte yürütülmesi kabul edildi.</w:t>
      </w:r>
    </w:p>
    <w:p>
      <w:pPr>
        <w:pStyle w:val="Heading2"/>
      </w:pPr>
      <w:r>
        <w:t>7. Müzik Kültürü ve Dinleme Çalışmalarının Görüşülmesi</w:t>
      </w:r>
    </w:p>
    <w:p>
      <w:r>
        <w:t>Türk müziği, farklı müzik türleri ve öğrencilerin yaşadığı çevrenin müzik birikimine ait örneklerin güvenilir kayıtlardan dinletilmesi görüşüldü. Eserin dönemi, icra ortamı ve kullanılan çalgılar hakkında kısa araştırmalar yapılması, müzik türlerine yönelik küçümseyici ifadelerin önlenmesi kararlaştırıldı.</w:t>
      </w:r>
    </w:p>
    <w:p>
      <w:r>
        <w:t>Atatürk’ün müzik kültürüne katkılarının uygun eser ve kaynaklarla işlenmesi kabul edildi. Dinleme sırasında öğrencilerin fark ettikleri müziksel özellikleri not etmeleri, görüşlerini eserden örnekle açıklamaları ve kişisel beğeniyle tarihsel bilgiyi birbirinden ayırmaları kararlaştırıldı.</w:t>
      </w:r>
    </w:p>
    <w:p>
      <w:pPr>
        <w:pStyle w:val="Heading2"/>
      </w:pPr>
      <w:r>
        <w:t>8. Müziksel Tasarım ve Yaratıcılık Çalışmalarının Planlanması</w:t>
      </w:r>
    </w:p>
    <w:p>
      <w:r>
        <w:t>Ritim eşliği, kısa ezgi ve sınıf düzeyine uygun şarkı oluşturma çalışmalarının fikir, deneme, düzenleme ve sunma aşamalarıyla yürütülmesi görüşüldü. Hazır kalıbın değiştirilmeden teslim edilmesinin özgün tasarım sayılmaması, öğrencinin yaptığı seçimleri açıklaması kararlaştırıldı.</w:t>
      </w:r>
    </w:p>
    <w:p>
      <w:r>
        <w:t>Basit çalgı tasarımında güvenli ve temiz malzemelerin kullanılması kabul edildi. Öğrencilerin pahalı ekipman almaya zorlanmaması, okulda dijital müzik aracı bulunmadığında aynı amacı karşılayan ses, ritim veya kâğıt üzerinde tasarım seçeneği sunulması kararlaştırıldı.</w:t>
      </w:r>
    </w:p>
    <w:p>
      <w:pPr>
        <w:pStyle w:val="Heading2"/>
      </w:pPr>
      <w:r>
        <w:t>9. Ölçme ve Değerlendirme Ölçütlerinin Belirlenmesi</w:t>
      </w:r>
    </w:p>
    <w:p>
      <w:r>
        <w:t>Söyleme ve çalma çalışmalarında hazırlık, ritim, ezgiye uyum, birlikte çalışma ve müziksel anlatım ölçütlerinin görevden önce açıklanması görüşüldü. Notun yalnız solo performansa veya doğuştan yetenek yargısına dayandırılmaması, birden fazla öğrenme kanıtından yararlanılması kararlaştırıldı.</w:t>
      </w:r>
    </w:p>
    <w:p>
      <w:r>
        <w:t>Dinleme ve tasarım çalışmalarında öğrencinin gerekçeli açıklaması ile geliştirme sürecinin değerlendirilmesi kabul edildi. Öğretmenlerin kimlik bilgileri çıkarılmış örnekler üzerinden puanlama anlayışlarını karşılaştırması, güncel ölçme esaslarını izlemesi ve e-Okul kayıtlarını süresinde tamamlaması kararlaştırıldı.</w:t>
      </w:r>
    </w:p>
    <w:p>
      <w:pPr>
        <w:pStyle w:val="Heading2"/>
      </w:pPr>
      <w:r>
        <w:t>10. Farklılaştırma ve BEP Uygulamalarının Görüşülmesi</w:t>
      </w:r>
    </w:p>
    <w:p>
      <w:r>
        <w:t>Seslendirme güçlüğü yaşayan öğrencilere ritmik eşlik, dinleme veya uygun çalgı görevi verilmesi görüşüldü. BEP kapsamındaki hedef, araç, süre ve değerlendirme uyarlamalarının ilgili birim kararlarına göre yapılması, öğrencinin ortak müzik çalışmasına anlamlı bir görevle katılması kararlaştırıldı.</w:t>
      </w:r>
    </w:p>
    <w:p>
      <w:r>
        <w:t>İleri düzeydeki öğrencilerin daha karmaşık eşlik ve düzenleme seçenekleri üzerinde çalışması kabul edildi. Akran desteğinin öğrencinin yerine çalmaya veya söylemeye dönüşmemesi, grupların sabit yetenek etiketleriyle oluşturulmaması ve sağlık bilgilerinin gizlilik içinde ele alınması kararlaştırıldı.</w:t>
      </w:r>
    </w:p>
    <w:p>
      <w:pPr>
        <w:pStyle w:val="Heading2"/>
        <w:pageBreakBefore/>
      </w:pPr>
      <w:r>
        <w:t>11. Törenler ve Okul İçi Müzik Etkinliklerinin Planlanması</w:t>
      </w:r>
    </w:p>
    <w:p>
      <w:r>
        <w:t>Millî bayram, anma programı ve okul etkinliklerinde repertuvarın programın anlamına ve öğrenci düzeyine uygun seçilmesi görüşüldü. Görevlerin gönüllülük, hazırlık süresi ve öğrencilerin ders yükü gözetilerek dağıtılması, ses sistemi ile sahne düzeninin önceden kontrol edilmesi kararlaştırıldı.</w:t>
      </w:r>
    </w:p>
    <w:p>
      <w:r>
        <w:t>Koro ve çalgı topluluğu çalışmalarının ders kazanımlarından ayrı bir takvimle yürütülmesi kabul edildi. Etkinliğe seçilmeyen öğrencilerin dersteki öğrenme fırsatlarının azaltılmaması, ses ve görüntü kayıtlarında izin esaslarına uyulması, eserlerin telif durumunun kontrol edilmesi kararlaştırıldı.</w:t>
      </w:r>
    </w:p>
    <w:p>
      <w:pPr>
        <w:pStyle w:val="Heading2"/>
      </w:pPr>
      <w:r>
        <w:t>12. Son Görüşlerin Alınması ve Toplantının Kapatılması</w:t>
      </w:r>
    </w:p>
    <w:p>
      <w:pPr>
        <w:keepNext/>
        <w:keepLines/>
      </w:pPr>
      <w:r>
        <w:t>Öğretmenler, çalgı bakımının ve ortak derslik kullanımının zümre içinde düzenli izlenmesini istedi. İşe yarayan repertuvar, ritim ve değerlendirme örneklerinin paylaşılması, alınan kararların yıllık plan ve ders hazırlıklarına yansıtılması kararlaştırıldı.</w:t>
      </w:r>
    </w:p>
    <w:p>
      <w:pPr>
        <w:keepNext/>
        <w:keepLines/>
      </w:pPr>
      <w:r>
        <w:t>Gündemdeki bütün maddeler görüşüldü ve kararlar oybirliğiyle kabul edildi. Okul müdürünün onayından sonra uygulanmasına karar verildi. Başka söz alan olmadığından toplantı saat ......................’de kapatıldı. Tutanak birlikte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567"/>
      <w:jc w:val="both"/>
    </w:pPr>
    <w:rPr>
      <w:rFonts w:ascii="Times New Roman" w:hAnsi="Times New Roman" w:eastAsia="Times New Roman" w:cs="Times New Roman"/>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Times New Roman" w:hAnsi="Times New Roman" w:eastAsia="Times New Roman" w:cs="Times New Roman"/>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Times New Roman" w:hAnsi="Times New Roman" w:eastAsia="Times New Roman" w:cs="Times New Roman"/>
      <w:b/>
      <w:bCs/>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Times New Roman" w:hAnsi="Times New Roman" w:eastAsia="Times New Roman" w:cs="Times New Roman"/>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2"/>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Müzik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