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 Lisesi Müdürlüğü</w:t>
      </w:r>
    </w:p>
    <w:p>
      <w:pPr>
        <w:pStyle w:val="Title"/>
      </w:pPr>
      <w:r>
        <w:t>2026–2027 Eğitim Öğretim Yılı</w:t>
        <w:br/>
        <w:t>Müzik Dersi Sene Başı Zümre Öğretmenler Kurulu</w:t>
        <w:br/>
        <w:t>Toplantı Tutanağı</w:t>
      </w:r>
    </w:p>
    <w:p>
      <w:pPr>
        <w:pStyle w:val="Meta"/>
      </w:pPr>
      <w:r>
        <w:t>Toplantı No: 1</w:t>
      </w:r>
    </w:p>
    <w:p>
      <w:pPr>
        <w:pStyle w:val="Meta"/>
      </w:pPr>
      <w:r>
        <w:t>Toplantı Tarihi: ......................</w:t>
      </w:r>
    </w:p>
    <w:p>
      <w:pPr>
        <w:pStyle w:val="Meta"/>
      </w:pPr>
      <w:r>
        <w:t>Toplantı Saati: ......................</w:t>
      </w:r>
    </w:p>
    <w:p>
      <w:pPr>
        <w:pStyle w:val="Meta"/>
      </w:pPr>
      <w:r>
        <w:t>Toplantı Yeri: ......................</w:t>
      </w:r>
    </w:p>
    <w:p>
      <w:pPr>
        <w:pStyle w:val="Meta"/>
      </w:pPr>
      <w:r>
        <w:t>Zümre Başkanı: ......................</w:t>
      </w:r>
    </w:p>
    <w:p>
      <w:pPr>
        <w:pStyle w:val="Meta"/>
      </w:pPr>
      <w:r>
        <w:t>Katılanlar: ......................</w:t>
      </w:r>
    </w:p>
    <w:p>
      <w:pPr>
        <w:pStyle w:val="Heading1"/>
      </w:pPr>
      <w:r>
        <w:t>Gündem Maddeleri</w:t>
      </w:r>
    </w:p>
    <w:p>
      <w:pPr>
        <w:pStyle w:val="Agenda"/>
        <w:numPr>
          <w:ilvl w:val="0"/>
          <w:numId w:val="90"/>
        </w:numPr>
      </w:pPr>
      <w:r>
        <w:t>Açılışın Yapılması ve Katılım Hedeflerinin Görüşülmesi</w:t>
      </w:r>
    </w:p>
    <w:p>
      <w:pPr>
        <w:pStyle w:val="Agenda"/>
        <w:numPr>
          <w:ilvl w:val="0"/>
          <w:numId w:val="90"/>
        </w:numPr>
      </w:pPr>
      <w:r>
        <w:t>Türkiye Yüzyılı Maarif Modeli ve Planların Görüşülmesi</w:t>
      </w:r>
    </w:p>
    <w:p>
      <w:pPr>
        <w:pStyle w:val="Agenda"/>
        <w:numPr>
          <w:ilvl w:val="0"/>
          <w:numId w:val="90"/>
        </w:numPr>
      </w:pPr>
      <w:r>
        <w:t>Başlangıç Gözlemlerinin ve İhtiyaçların Belirlenmesi</w:t>
      </w:r>
    </w:p>
    <w:p>
      <w:pPr>
        <w:pStyle w:val="Agenda"/>
        <w:numPr>
          <w:ilvl w:val="0"/>
          <w:numId w:val="90"/>
        </w:numPr>
      </w:pPr>
      <w:r>
        <w:t>Erişilebilir Derslik ve Dinleme Ortamının Düzenlenmesi</w:t>
      </w:r>
    </w:p>
    <w:p>
      <w:pPr>
        <w:pStyle w:val="Agenda"/>
        <w:numPr>
          <w:ilvl w:val="0"/>
          <w:numId w:val="90"/>
        </w:numPr>
      </w:pPr>
      <w:r>
        <w:t>Ritim ve Müzik Dili Desteğinin Planlanması</w:t>
      </w:r>
    </w:p>
    <w:p>
      <w:pPr>
        <w:pStyle w:val="Agenda"/>
        <w:numPr>
          <w:ilvl w:val="0"/>
          <w:numId w:val="90"/>
        </w:numPr>
      </w:pPr>
      <w:r>
        <w:t>Seslendirme ve Çalgı Görevlerinin Uyarlanması</w:t>
      </w:r>
    </w:p>
    <w:p>
      <w:pPr>
        <w:pStyle w:val="Agenda"/>
        <w:numPr>
          <w:ilvl w:val="0"/>
          <w:numId w:val="90"/>
        </w:numPr>
      </w:pPr>
      <w:r>
        <w:t>BEP ve Farklılaştırılmış Müzik Çalışmalarının Görüşülmesi</w:t>
      </w:r>
    </w:p>
    <w:p>
      <w:pPr>
        <w:pStyle w:val="Agenda"/>
        <w:numPr>
          <w:ilvl w:val="0"/>
          <w:numId w:val="90"/>
        </w:numPr>
      </w:pPr>
      <w:r>
        <w:t>Geri Bildirim ve Tekrar Sürecinin Düzenlenmesi</w:t>
      </w:r>
    </w:p>
    <w:p>
      <w:pPr>
        <w:pStyle w:val="Agenda"/>
        <w:numPr>
          <w:ilvl w:val="0"/>
          <w:numId w:val="90"/>
        </w:numPr>
      </w:pPr>
      <w:r>
        <w:t>Müziksel Tasarım ve Öz Değerlendirmenin Planlanması</w:t>
      </w:r>
    </w:p>
    <w:p>
      <w:pPr>
        <w:pStyle w:val="Agenda"/>
        <w:numPr>
          <w:ilvl w:val="0"/>
          <w:numId w:val="90"/>
        </w:numPr>
      </w:pPr>
      <w:r>
        <w:t>Değerlendirme Ölçütlerinin Uyarlanması</w:t>
      </w:r>
    </w:p>
    <w:p>
      <w:pPr>
        <w:pStyle w:val="Agenda"/>
        <w:numPr>
          <w:ilvl w:val="0"/>
          <w:numId w:val="90"/>
        </w:numPr>
      </w:pPr>
      <w:r>
        <w:t>Müzik Kültürü ve Okul Etkinliklerinin Düzenlenmesi</w:t>
      </w:r>
    </w:p>
    <w:p>
      <w:pPr>
        <w:pStyle w:val="Agenda"/>
        <w:numPr>
          <w:ilvl w:val="0"/>
          <w:numId w:val="90"/>
        </w:numPr>
      </w:pPr>
      <w:r>
        <w:t>Sonuçların Karara Bağlanması ve Toplantının Kapatılması</w:t>
      </w:r>
    </w:p>
    <w:p>
      <w:pPr>
        <w:pStyle w:val="Heading1"/>
        <w:pageBreakBefore/>
      </w:pPr>
      <w:r>
        <w:t>Gündem Maddelerinin Görüşülmesi</w:t>
      </w:r>
    </w:p>
    <w:p>
      <w:pPr>
        <w:pStyle w:val="Heading2"/>
      </w:pPr>
      <w:r>
        <w:t>1. Açılışın Yapılması ve Katılım Hedeflerinin Görüşülmesi</w:t>
      </w:r>
    </w:p>
    <w:p>
      <w:r>
        <w:t>...................... Lisesi Müzik zümre öğretmenleri, ...................... tarihinde saat ......................’de ...................... başkanlığında toplandı. Üyelerin hazır olduğu belirlendi. Yazman olarak ...................... görev aldı. Gündem okunarak oybirliğiyle kabul edildi.</w:t>
      </w:r>
    </w:p>
    <w:p>
      <w:r>
        <w:t>Öğretmen ......................, öğrencilerin ses, ritim ve çalgı deneyimlerinin farklı olduğunu belirtti. Başlangıç düzeyinin kalıcı yetenek etiketi olarak kullanılmaması, her öğrencinin dinleme ve müzik yapma sürecinde ulaşabileceği bir görev üstlenmesi kararlaştırıldı. Performans kaygısı yaşayan öğrenciler için aşamalı katılım sağlanması kabul edildi.</w:t>
      </w:r>
    </w:p>
    <w:p>
      <w:pPr>
        <w:pStyle w:val="Heading2"/>
      </w:pPr>
      <w:r>
        <w:t>2. Türkiye Yüzyılı Maarif Modeli ve Planların Görüşülmesi</w:t>
      </w:r>
    </w:p>
    <w:p>
      <w:r>
        <w:t>2026–2027 yılında hazırlık, 9, 10 ve 11. sınıflarda Türkiye Yüzyılı Maarif Modeli; 12. sınıfta önceki program esasları görüşüldü. Okulda bulunan sınıfların kendi program ve haftalık çizelgesine göre planlanması kararlaştırıldı.</w:t>
      </w:r>
    </w:p>
    <w:p>
      <w:r>
        <w:t>Müzik Dili, Müzik Kültürü ve Müziksel Tasarım temalarında aynı öğrenme çıktısına farklı katılım yollarıyla ulaşılabilmesi kabul edildi. Müziksel ifade ve estetiğin uygulamalarla birlikte ele alınması, öğrenme kanıtlarının tek bir solo sınava indirgenmemesi, destekleme ve zenginleştirmenin ders hazırlığında gösterilmesi kararlaştırıldı.</w:t>
      </w:r>
    </w:p>
    <w:p>
      <w:pPr>
        <w:pStyle w:val="Heading2"/>
      </w:pPr>
      <w:r>
        <w:t>3. Başlangıç Gözlemlerinin ve İhtiyaçların Belirlenmesi</w:t>
      </w:r>
    </w:p>
    <w:p>
      <w:r>
        <w:t>İlk derslerde kısa dinleme, ritim tekrarı ve grup söyleme görevleriyle öğrencilerin çalışma biçimlerinin gözlenmesi görüşüldü. İşitme, ses kullanımı, yönergeyi anlama ve çalgıya erişimle ilgili güçlüklerin birbirinden ayrılması, gözlemlerin tanı koymak için kullanılmaması kararlaştırıldı.</w:t>
      </w:r>
    </w:p>
    <w:p>
      <w:r>
        <w:t>Öğrencinin daha önceki müzik deneyiminin öğrenme fırsatı olarak değerlendirilmesi kabul edildi. Yardım istenen aşamanın öğrenciyle konuşulması, destek sonrasında benzer bir görevde bağımsız deneme yapılması ve kişisel bilgilerin gizli tutulması kararlaştırıldı.</w:t>
      </w:r>
    </w:p>
    <w:p>
      <w:pPr>
        <w:pStyle w:val="Heading2"/>
      </w:pPr>
      <w:r>
        <w:t>4. Erişilebilir Derslik ve Dinleme Ortamının Düzenlenmesi</w:t>
      </w:r>
    </w:p>
    <w:p>
      <w:r>
        <w:t>Oturma düzeninin öğrencilerin öğretmeni ve yönetim işaretlerini görebileceği şekilde kurulması görüşüldü. İşitme desteği kullanan öğrencilerin ihtiyacına göre uygun konumlandırılması, gereksiz ortam gürültüsünün azaltılması ve dinleme kayıtlarının anlaşılır ses düzeyinde sunulması kararlaştırıldı.</w:t>
      </w:r>
    </w:p>
    <w:p>
      <w:r>
        <w:t>Çalgıların erişilebilir yerlerde tutulması ve kolay kavranan araç seçeneklerinin ilgili ihtiyaçlara göre değerlendirilmesi kabul edildi. Kabloların geçiş yolundan kaldırılması, ortak ağızlık kullanılmaması, yüksek sesli çalışmaların kısa tutulması ve güvenlik ihtiyacının yönetimle çözülmesi kararlaştırıldı.</w:t>
      </w:r>
    </w:p>
    <w:p>
      <w:pPr>
        <w:pStyle w:val="Heading2"/>
      </w:pPr>
      <w:r>
        <w:t>5. Ritim ve Müzik Dili Desteğinin Planlanması</w:t>
      </w:r>
    </w:p>
    <w:p>
      <w:r>
        <w:t>Ritim kalıplarının önce dinleme ve hareketle, ardından sembollerle ilişkilendirilmesi görüşüldü. Kalıbın küçük bölümlere ayrılması, hız düşürülerek tekrar edilmesi ve öğrenci bağımsızlaştıkça görsel desteğin azaltılması kararlaştırıldı.</w:t>
      </w:r>
    </w:p>
    <w:p>
      <w:r>
        <w:t>Nota okumakta zorlanmanın müziksel düşüncenin olmadığı biçiminde yorumlanmaması kabul edildi. Öğrencinin ritmi vurma, söyleme veya uygun araçla gösterme yollarından yararlanması, kavramları duyduğu eser içinde açıklaması ve benzer yeni bir örnekle aktarımın kontrol edilmesi kararlaştırıldı.</w:t>
      </w:r>
    </w:p>
    <w:p>
      <w:pPr>
        <w:pStyle w:val="Heading2"/>
      </w:pPr>
      <w:r>
        <w:t>6. Seslendirme ve Çalgı Görevlerinin Uyarlanması</w:t>
      </w:r>
    </w:p>
    <w:p>
      <w:r>
        <w:t>Eserlerin ses sınırları ve tempo bakımından öğrenci grubuna uygun seçilmesi görüşüldü. Solo söylemeye hazır olmayanların önce eşli veya küçük grup çalışmasına katılması, ses sağlığı sorunu bildirenlere uygun dinleme ya da ritim görevi verilmesi kararlaştırıldı.</w:t>
      </w:r>
    </w:p>
    <w:p>
      <w:r>
        <w:t>Çalgı partisinin öğrencinin mevcut becerisine göre kısa bölümlere ayrılması kabul edildi. Fiziksel erişim güçlüğünde uygun çalgı veya dijital olmayan alternatifin ilgili ekiplerle seçilmesi, öğrencinin yerine başka birinin bütün görevi yapmaması ve başarı sonrasında görevin aşamalı genişletilmesi kararlaştırıldı.</w:t>
      </w:r>
    </w:p>
    <w:p>
      <w:pPr>
        <w:pStyle w:val="Heading2"/>
      </w:pPr>
      <w:r>
        <w:t>7. BEP ve Farklılaştırılmış Müzik Çalışmalarının Görüşülmesi</w:t>
      </w:r>
    </w:p>
    <w:p>
      <w:r>
        <w:t>Genel sınıf içi desteğin BEP uygulamasından farklı bir süreç olduğu görüşüldü. BEP kapsamındaki amaç, materyal, süre ve değerlendirmelerin raporlar ile ilgili birim kararlarına göre düzenlenmesi, öğrencinin ortak repertuvara uygun bir görevle katılması kararlaştırıldı.</w:t>
      </w:r>
    </w:p>
    <w:p>
      <w:r>
        <w:t>İleri düzey öğrencilerin daha fazla aynı alıştırmayı yapması yerine eşlik tasarlaması, düzenleme seçeneği geliştirmesi veya farklı icraları karşılaştırması kabul edildi. Akran yardımının öğretmen desteğinin yerini almaması, grupların sürekli aynı başarı düzeyine göre ayrılmaması kararlaştırıldı.</w:t>
      </w:r>
    </w:p>
    <w:p>
      <w:pPr>
        <w:pStyle w:val="Heading2"/>
      </w:pPr>
      <w:r>
        <w:t>8. Geri Bildirim ve Tekrar Sürecinin Düzenlenmesi</w:t>
      </w:r>
    </w:p>
    <w:p>
      <w:r>
        <w:t>Dönütün tek seferde bütün hataları sıralamak yerine ritim, giriş veya nefes gibi öncelikli bir noktaya yönelmesi görüşüldü. Öğrencinin öneriyi hemen kısa bir tekrar içinde denemesi, ilerlemenin önceki kendi performansıyla karşılaştırılması kararlaştırıldı.</w:t>
      </w:r>
    </w:p>
    <w:p>
      <w:r>
        <w:t>Ses kaydı kullanılacaksa öğrencinin ve velisinin izin esaslarının gözetilmesi kabul edildi. Kayıt yapılmadan da öğretmen gözlem notu ve öğrenci öz değerlendirmesinden yararlanılması, hatalı denemenin sınıf içinde tekrar tekrar dinletilmemesi ve kayıtların güvenli tutulması kararlaştırıldı.</w:t>
      </w:r>
    </w:p>
    <w:p>
      <w:pPr>
        <w:pStyle w:val="Heading2"/>
      </w:pPr>
      <w:r>
        <w:t>9. Müziksel Tasarım ve Öz Değerlendirmenin Planlanması</w:t>
      </w:r>
    </w:p>
    <w:p>
      <w:r>
        <w:t>Ritim veya kısa ezgi oluşturma görevinin amaç belirleme, deneme, dinleme ve düzenleme aşamalarına ayrılması görüşüldü. Öğrencinin seçtiği ses ve ritimlerin eserdeki işlevini açıklaması, hazır döngünün bağımsız ürün sayılmaması kararlaştırıldı.</w:t>
      </w:r>
    </w:p>
    <w:p>
      <w:r>
        <w:t>Öz değerlendirmede öğrencinin iyi işleyen bölümü ve değiştirmek istediği noktayı belirtmesi kabul edildi. Ücretli yazılımı veya kişisel cihazı olmayan öğrenciye sınıf çalgıları ve kâğıt üzerinde tasarım seçeneği sunulması, ürünün pahalı teknolojiyle hazırlanmasının puan üstünlüğü sağlamaması kararlaştırıldı.</w:t>
      </w:r>
    </w:p>
    <w:p>
      <w:pPr>
        <w:pStyle w:val="Heading2"/>
      </w:pPr>
      <w:r>
        <w:t>10. Değerlendirme Ölçütlerinin Uyarlanması</w:t>
      </w:r>
    </w:p>
    <w:p>
      <w:r>
        <w:t>Değerlendirme ölçütlerinin görevin amacı, güvenli katılım, ritmik uyum ve müziksel ifadeye göre açıklanması görüşüldü. BEP ve belgeli sağlık ihtiyacına ilişkin düzenlemelerin resmî kararlarla yapılması, öğrencinin ses rengi veya çalgı sahibi olması üzerinden not verilmemesi kararlaştırıldı.</w:t>
      </w:r>
    </w:p>
    <w:p>
      <w:r>
        <w:t>Birden fazla kısa gözlemden yararlanılması ve öğrencinin gelişim dosyasındaki çalışmaların birlikte incelenmesi kabul edildi. Akran değerlendirmesinde kişiye yönelik yargıların önlenmesi, sonuçların toplu yetenek sıralamasına çevrilmemesi ve geri bildirimin geliştirilebilir beceriye yönelmesi kararlaştırıldı.</w:t>
      </w:r>
    </w:p>
    <w:p>
      <w:pPr>
        <w:pStyle w:val="Heading2"/>
        <w:pageBreakBefore/>
      </w:pPr>
      <w:r>
        <w:t>11. Müzik Kültürü ve Okul Etkinliklerinin Düzenlenmesi</w:t>
      </w:r>
    </w:p>
    <w:p>
      <w:r>
        <w:t>Farklı müzik kültürlerine ait örneklerin önyargısız biçimde dinlenmesi ve görüşlerin eserin özelliklerine dayandırılması görüşüldü. Yerel müzik araştırmasında kişilerin izinsiz ses veya görüntü kaydının alınmaması, kaynakların ve icracıların belirtilmesi kararlaştırıldı.</w:t>
      </w:r>
    </w:p>
    <w:p>
      <w:r>
        <w:t>Ailelerden öğrencinin yerine kayıt veya proje hazırlamalarının istenmemesi kabul edildi. Evde çalgı bulunmasını gerektirmeyen dinleme ve ritim seçenekleri sunulması, bireysel gelişimin veliyle somut örnek üzerinden paylaşılması kararlaştırıldı.</w:t>
      </w:r>
    </w:p>
    <w:p>
      <w:r>
        <w:t>Dinleti ve törenlerde solo, ritim, sunum, teknik hazırlık ve toplu söyleme görevlerinin dengeli dağıtılması kararlaştırıldı. Provaların ders içi öğrenmeyi daraltmaması, sahne güvenliğinin kontrol edilmesi, kayıt ve paylaşımlarda izin ile telif kurallarına uyulması kabul edildi.</w:t>
      </w:r>
    </w:p>
    <w:p>
      <w:pPr>
        <w:pStyle w:val="Heading2"/>
      </w:pPr>
      <w:r>
        <w:t>12. Sonuçların Karara Bağlanması ve Toplantının Kapatılması</w:t>
      </w:r>
    </w:p>
    <w:p>
      <w:pPr>
        <w:keepNext/>
        <w:keepLines/>
      </w:pPr>
      <w:r>
        <w:t>Zümre başkanı, desteklerin öğrencinin bağımsız müzik yapmasını artırıp artırmadığının izlenmesini istedi. Öğretmenlerin işe yarayan ritim, dinleme ve görev uyarlamalarını öğrenci kimliği içermeyen örneklerle paylaşması, ihtiyaç hâlinde yöntemi yeniden düzenlemesi kararlaştırıldı.</w:t>
      </w:r>
    </w:p>
    <w:p>
      <w:pPr>
        <w:keepNext/>
        <w:keepLines/>
      </w:pPr>
      <w:r>
        <w:t>Gündemdeki bütün hususlar görüşülerek kararlar oybirliğiyle kabul edildi. Okul müdürünün onayından sonra uygulanmasına karar verildi. Başka söz alan olmadığından toplantı saat ......................’de kapatıldı. Tutanak birlikte okunarak imzalandı.</w:t>
      </w:r>
    </w:p>
    <w:p>
      <w:pPr>
        <w:pStyle w:val="Heading1"/>
      </w:pPr>
      <w:r>
        <w:t>İmzalar</w:t>
      </w:r>
    </w:p>
    <w:p>
      <w:pPr>
        <w:pStyle w:val="Signature"/>
        <w:keepNext/>
        <w:tabs>
          <w:tab w:pos="2324" w:val="center"/>
          <w:tab w:pos="6973" w:val="center"/>
        </w:tabs>
        <w:spacing w:before="320"/>
      </w:pPr>
      <w:r>
        <w:tab/>
        <w:t>......................</w:t>
        <w:tab/>
        <w:t>......................</w:t>
      </w:r>
    </w:p>
    <w:p>
      <w:pPr>
        <w:pStyle w:val="Signature"/>
        <w:keepNext/>
        <w:tabs>
          <w:tab w:pos="2324" w:val="center"/>
          <w:tab w:pos="6973" w:val="center"/>
        </w:tabs>
      </w:pPr>
      <w:r>
        <w:tab/>
        <w:t>Zümre Başkanı</w:t>
        <w:tab/>
        <w:t>Zümre Öğretmeni</w:t>
      </w:r>
    </w:p>
    <w:p>
      <w:pPr>
        <w:pStyle w:val="Signature"/>
        <w:keepNext/>
        <w:tabs>
          <w:tab w:pos="2324" w:val="center"/>
          <w:tab w:pos="6973" w:val="center"/>
        </w:tabs>
      </w:pPr>
      <w:r>
        <w:tab/>
        <w:t>İmza</w:t>
        <w:tab/>
        <w:t>İmza</w:t>
      </w:r>
    </w:p>
    <w:p>
      <w:pPr>
        <w:pStyle w:val="Signature"/>
        <w:keepNext/>
        <w:tabs>
          <w:tab w:pos="2324" w:val="center"/>
          <w:tab w:pos="6973" w:val="center"/>
        </w:tabs>
        <w:spacing w:before="320"/>
      </w:pPr>
      <w:r>
        <w:tab/>
        <w:t>......................</w:t>
        <w:tab/>
        <w:t>......................</w:t>
      </w:r>
    </w:p>
    <w:p>
      <w:pPr>
        <w:pStyle w:val="Signature"/>
        <w:keepNext/>
        <w:tabs>
          <w:tab w:pos="2324" w:val="center"/>
          <w:tab w:pos="6973" w:val="center"/>
        </w:tabs>
      </w:pPr>
      <w:r>
        <w:tab/>
        <w:t>Zümre Öğretmeni</w:t>
        <w:tab/>
        <w:t>Zümre Öğretmeni</w:t>
      </w:r>
    </w:p>
    <w:p>
      <w:pPr>
        <w:pStyle w:val="Signature"/>
        <w:keepNext/>
        <w:tabs>
          <w:tab w:pos="2324" w:val="center"/>
          <w:tab w:pos="6973" w:val="center"/>
        </w:tabs>
      </w:pPr>
      <w:r>
        <w:tab/>
        <w:t>İmza</w:t>
        <w:tab/>
        <w:t>İmza</w:t>
      </w:r>
    </w:p>
    <w:p>
      <w:pPr>
        <w:pStyle w:val="Signature"/>
        <w:keepNext/>
        <w:tabs>
          <w:tab w:pos="2324" w:val="center"/>
          <w:tab w:pos="6973" w:val="center"/>
        </w:tabs>
        <w:spacing w:before="320"/>
      </w:pPr>
      <w:r>
        <w:tab/>
        <w:t>......................</w:t>
        <w:tab/>
        <w:t>......................</w:t>
      </w:r>
    </w:p>
    <w:p>
      <w:pPr>
        <w:pStyle w:val="Signature"/>
        <w:keepNext/>
        <w:tabs>
          <w:tab w:pos="2324" w:val="center"/>
          <w:tab w:pos="6973" w:val="center"/>
        </w:tabs>
      </w:pPr>
      <w:r>
        <w:tab/>
        <w:t>Müdür Yardımcısı</w:t>
        <w:tab/>
        <w:t>Müdür Yardımcısı</w:t>
      </w:r>
    </w:p>
    <w:p>
      <w:pPr>
        <w:pStyle w:val="Signature"/>
        <w:keepNext/>
        <w:tabs>
          <w:tab w:pos="2324" w:val="center"/>
          <w:tab w:pos="6973" w:val="center"/>
        </w:tabs>
      </w:pPr>
      <w:r>
        <w:tab/>
        <w:t>İmza</w:t>
        <w:tab/>
        <w:t>İmza</w:t>
      </w:r>
    </w:p>
    <w:p>
      <w:pPr>
        <w:pStyle w:val="Signature"/>
        <w:keepNext/>
        <w:spacing w:before="360"/>
        <w:jc w:val="center"/>
      </w:pPr>
      <w:r>
        <w:t>Uygundur</w:t>
      </w:r>
    </w:p>
    <w:p>
      <w:pPr>
        <w:pStyle w:val="Signature"/>
        <w:keepNext/>
        <w:jc w:val="center"/>
      </w:pPr>
      <w:r>
        <w:t>......................</w:t>
      </w:r>
    </w:p>
    <w:p>
      <w:pPr>
        <w:pStyle w:val="Signature"/>
        <w:keepNext/>
        <w:jc w:val="center"/>
      </w:pPr>
      <w:r>
        <w:t>......................</w:t>
      </w:r>
    </w:p>
    <w:p>
      <w:pPr>
        <w:pStyle w:val="Signature"/>
        <w:keepNext/>
        <w:jc w:val="center"/>
      </w:pPr>
      <w:r>
        <w:t>Okul Müdürü</w:t>
      </w:r>
    </w:p>
    <w:p>
      <w:pPr>
        <w:pStyle w:val="Signature"/>
        <w:keepNext w:val="0"/>
        <w:jc w:val="center"/>
      </w:pPr>
      <w:r>
        <w:t>İmza</w:t>
      </w:r>
    </w:p>
    <w:sectPr w:rsidR="00FC693F" w:rsidRPr="0006063C" w:rsidSect="00034616">
      <w:pgSz w:w="11906" w:h="16838"/>
      <w:pgMar w:top="1134" w:right="1304" w:bottom="1134" w:left="130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0">
    <w:lvl w:ilvl="0">
      <w:start w:val="1"/>
      <w:numFmt w:val="decimal"/>
      <w:lvlText w:val="%1."/>
      <w:lvlJc w:val="left"/>
      <w:pPr>
        <w:ind w:left="360" w:hanging="360"/>
      </w:pPr>
    </w:lvl>
  </w:abstractNum>
  <w:num w:numId="90">
    <w:abstractNumId w:val="9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80" w:line="240" w:lineRule="auto"/>
      <w:ind w:firstLine="397"/>
      <w:jc w:val="both"/>
    </w:pPr>
    <w:rPr>
      <w:rFonts w:ascii="Cambria" w:hAnsi="Cambria" w:eastAsia="Cambria" w:cs="Cambria"/>
      <w:color w:val="000000"/>
      <w:sz w:val="24"/>
      <w:lang w:val="tr-TR"/>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200" w:after="80" w:line="240" w:lineRule="auto"/>
      <w:ind w:firstLine="0"/>
      <w:jc w:val="left"/>
      <w:outlineLvl w:val="0"/>
    </w:pPr>
    <w:rPr>
      <w:rFonts w:cstheme="majorBidi" w:ascii="Cambria" w:hAnsi="Cambria" w:eastAsia="Cambria" w:cs="Cambria"/>
      <w:b/>
      <w:bCs/>
      <w:color w:val="000000"/>
      <w:sz w:val="24"/>
      <w:szCs w:val="28"/>
      <w:lang w:val="tr-TR"/>
    </w:rPr>
  </w:style>
  <w:style w:type="paragraph" w:styleId="Heading2">
    <w:name w:val="heading 2"/>
    <w:basedOn w:val="Normal"/>
    <w:next w:val="Normal"/>
    <w:link w:val="Heading2Char"/>
    <w:uiPriority w:val="9"/>
    <w:unhideWhenUsed/>
    <w:qFormat/>
    <w:rsid w:val="00FC693F"/>
    <w:pPr>
      <w:keepNext/>
      <w:keepLines/>
      <w:widowControl/>
      <w:spacing w:before="200" w:after="80" w:line="240" w:lineRule="auto"/>
      <w:ind w:firstLine="0"/>
      <w:jc w:val="left"/>
      <w:outlineLvl w:val="1"/>
    </w:pPr>
    <w:rPr>
      <w:rFonts w:cstheme="majorBidi" w:ascii="Cambria" w:hAnsi="Cambria" w:eastAsia="Cambria" w:cs="Cambria"/>
      <w:b/>
      <w:bCs/>
      <w:i/>
      <w:color w:val="000000"/>
      <w:sz w:val="24"/>
      <w:szCs w:val="26"/>
      <w:lang w:val="tr-TR"/>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widowControl/>
      <w:spacing w:after="80" w:line="240" w:lineRule="auto" w:before="0"/>
      <w:ind w:firstLine="0"/>
      <w:contextualSpacing/>
      <w:jc w:val="center"/>
    </w:pPr>
    <w:rPr>
      <w:rFonts w:cstheme="majorBidi" w:ascii="Cambria" w:hAnsi="Cambria" w:eastAsia="Cambria" w:cs="Cambria"/>
      <w:b/>
      <w:color w:val="000000"/>
      <w:spacing w:val="5"/>
      <w:kern w:val="28"/>
      <w:sz w:val="26"/>
      <w:szCs w:val="52"/>
      <w:lang w:val="tr-TR"/>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eta">
    <w:name w:val="Meta"/>
    <w:basedOn w:val="Normal"/>
    <w:pPr>
      <w:spacing w:line="240" w:lineRule="auto" w:after="60"/>
      <w:ind w:firstLine="0"/>
      <w:jc w:val="left"/>
    </w:pPr>
  </w:style>
  <w:style w:type="paragraph" w:customStyle="1" w:styleId="Agenda">
    <w:name w:val="Agenda"/>
    <w:basedOn w:val="Normal"/>
    <w:pPr>
      <w:spacing w:line="240" w:lineRule="auto" w:after="80"/>
      <w:ind w:firstLine="0"/>
      <w:jc w:val="left"/>
    </w:pPr>
    <w:rPr>
      <w:sz w:val="23"/>
    </w:rPr>
  </w:style>
  <w:style w:type="paragraph" w:customStyle="1" w:styleId="Signature">
    <w:name w:val="Signature"/>
    <w:basedOn w:val="Normal"/>
    <w:pPr>
      <w:spacing w:line="240" w:lineRule="auto" w:after="60"/>
      <w:ind w:firstLine="0"/>
      <w:jc w:val="left"/>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Müzik Dersi Sene Başı Zümre Toplantı Tutanağı</dc:title>
  <dc:subject/>
  <dc:creator/>
  <cp:keywords/>
  <dc:description/>
  <cp:lastModifiedBy/>
  <cp:revision>1</cp:revision>
  <dcterms:created xsi:type="dcterms:W3CDTF">2013-12-23T23:15:00Z</dcterms:created>
  <dcterms:modified xsi:type="dcterms:W3CDTF">2013-12-23T23:15:00Z</dcterms:modified>
  <cp:category/>
</cp:coreProperties>
</file>