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Lisesi Müdürlüğü</w:t>
      </w:r>
    </w:p>
    <w:p>
      <w:pPr>
        <w:pStyle w:val="Title"/>
      </w:pPr>
      <w:r>
        <w:t>2026–2027 Eğitim Öğretim Yılı</w:t>
        <w:br/>
        <w:t>Sağlık Bilgisi ve Trafik Kültürü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Zümre Başkanı: ......................</w:t>
      </w:r>
    </w:p>
    <w:p>
      <w:pPr>
        <w:pStyle w:val="Meta"/>
      </w:pPr>
      <w:r>
        <w:t>Katılanlar: ......................</w:t>
      </w:r>
    </w:p>
    <w:p>
      <w:pPr>
        <w:pStyle w:val="Heading1"/>
      </w:pPr>
      <w:r>
        <w:t>Gündem Maddeleri</w:t>
      </w:r>
    </w:p>
    <w:p>
      <w:pPr>
        <w:pStyle w:val="Agenda"/>
        <w:numPr>
          <w:ilvl w:val="0"/>
          <w:numId w:val="90"/>
        </w:numPr>
      </w:pPr>
      <w:r>
        <w:t>Açılışın Yapılması ve Gündemin Kabul Edilmesi</w:t>
      </w:r>
    </w:p>
    <w:p>
      <w:pPr>
        <w:pStyle w:val="Agenda"/>
        <w:numPr>
          <w:ilvl w:val="0"/>
          <w:numId w:val="90"/>
        </w:numPr>
      </w:pPr>
      <w:r>
        <w:t>Mevzuatın ve Türkiye Yüzyılı Maarif Modeli’nin Görüşülmesi</w:t>
      </w:r>
    </w:p>
    <w:p>
      <w:pPr>
        <w:pStyle w:val="Agenda"/>
        <w:numPr>
          <w:ilvl w:val="0"/>
          <w:numId w:val="90"/>
        </w:numPr>
      </w:pPr>
      <w:r>
        <w:t>Yıllık Planların ve Tema Sürelerinin Düzenlenmesi</w:t>
      </w:r>
    </w:p>
    <w:p>
      <w:pPr>
        <w:pStyle w:val="Agenda"/>
        <w:numPr>
          <w:ilvl w:val="0"/>
          <w:numId w:val="90"/>
        </w:numPr>
      </w:pPr>
      <w:r>
        <w:t>Sağlık Kaynaklarının ve Öğretim Materyallerinin Seçilmesi</w:t>
      </w:r>
    </w:p>
    <w:p>
      <w:pPr>
        <w:pStyle w:val="Agenda"/>
        <w:numPr>
          <w:ilvl w:val="0"/>
          <w:numId w:val="90"/>
        </w:numPr>
      </w:pPr>
      <w:r>
        <w:t>Sağlıklı İnsan ve Toplum Temasının Planlanması</w:t>
      </w:r>
    </w:p>
    <w:p>
      <w:pPr>
        <w:pStyle w:val="Agenda"/>
        <w:numPr>
          <w:ilvl w:val="0"/>
          <w:numId w:val="90"/>
        </w:numPr>
      </w:pPr>
      <w:r>
        <w:t>Sağlıklı Yaşam Alışkanlıklarının Görüşülmesi</w:t>
      </w:r>
    </w:p>
    <w:p>
      <w:pPr>
        <w:pStyle w:val="Agenda"/>
        <w:numPr>
          <w:ilvl w:val="0"/>
          <w:numId w:val="90"/>
        </w:numPr>
      </w:pPr>
      <w:r>
        <w:t>Ergenlik ve Sosyal Yaşam Konularının Düzenlenmesi</w:t>
      </w:r>
    </w:p>
    <w:p>
      <w:pPr>
        <w:pStyle w:val="Agenda"/>
        <w:numPr>
          <w:ilvl w:val="0"/>
          <w:numId w:val="90"/>
        </w:numPr>
      </w:pPr>
      <w:r>
        <w:t>İlk Yardım Çalışmalarının Güvenli Biçimde Yürütülmesi</w:t>
      </w:r>
    </w:p>
    <w:p>
      <w:pPr>
        <w:pStyle w:val="Agenda"/>
        <w:numPr>
          <w:ilvl w:val="0"/>
          <w:numId w:val="90"/>
        </w:numPr>
      </w:pPr>
      <w:r>
        <w:t>Trafik Kültürü ve Güvenli Ulaşımın Planlanması</w:t>
      </w:r>
    </w:p>
    <w:p>
      <w:pPr>
        <w:pStyle w:val="Agenda"/>
        <w:numPr>
          <w:ilvl w:val="0"/>
          <w:numId w:val="90"/>
        </w:numPr>
      </w:pPr>
      <w:r>
        <w:t>Ölçme ve Değerlendirme Esaslarının Belirlenmesi</w:t>
      </w:r>
    </w:p>
    <w:p>
      <w:pPr>
        <w:pStyle w:val="Agenda"/>
        <w:numPr>
          <w:ilvl w:val="0"/>
          <w:numId w:val="90"/>
        </w:numPr>
      </w:pPr>
      <w:r>
        <w:t>Farklılaştırma ve BEP Uygulamalarının Görüşülmesi</w:t>
      </w:r>
    </w:p>
    <w:p>
      <w:pPr>
        <w:pStyle w:val="Agenda"/>
        <w:numPr>
          <w:ilvl w:val="0"/>
          <w:numId w:val="90"/>
        </w:numPr>
      </w:pPr>
      <w:r>
        <w:t>Okul İş Birliğinin ve Toplantı Sonuçlarının Karara Bağlanması</w:t>
      </w:r>
    </w:p>
    <w:p>
      <w:pPr>
        <w:pStyle w:val="Heading1"/>
        <w:pageBreakBefore/>
      </w:pPr>
      <w:r>
        <w:t>Gündem Maddelerinin Görüşülmesi</w:t>
      </w:r>
    </w:p>
    <w:p>
      <w:pPr>
        <w:pStyle w:val="Heading2"/>
      </w:pPr>
      <w:r>
        <w:t>1. Açılışın Yapılması ve Gündemin Kabul Edilmesi</w:t>
      </w:r>
    </w:p>
    <w:p>
      <w:r>
        <w:t>...................... Lisesi Sağlık Bilgisi ve Trafik Kültürü dersi zümre öğretmenler kurulu, ...................... tarihinde saat ......................’de ...................... başkanlığında toplandı. Yoklamada üyelerin hazır olduğu görüldü. Yazmanlık görevini ...................... üstlendi. Gündem maddeleri okunarak oybirliğiyle kabul edildi.</w:t>
      </w:r>
    </w:p>
    <w:p>
      <w:r>
        <w:t>Zümre başkanı, dersin öğrencilerin günlük yaşamda verecekleri sağlık ve güvenlik kararlarına yön verecek biçimde yürütülmesini istedi. Öğretmenler, bilgi aktarımının yanında örnek olay, gözlem, uygulama ve gerekçeli karar verme çalışmalarına yer verilmesini uygun buldu. Ortak materyal ve değerlendirme örneklerinin zümre dosyasında paylaşılması kararlaştırıldı.</w:t>
      </w:r>
    </w:p>
    <w:p>
      <w:pPr>
        <w:pStyle w:val="Heading2"/>
      </w:pPr>
      <w:r>
        <w:t>2. Mevzuatın ve Türkiye Yüzyılı Maarif Modeli’nin Görüşülmesi</w:t>
      </w:r>
    </w:p>
    <w:p>
      <w:r>
        <w:t>Ortaöğretim Kurumları Yönetmeliği, Eğitim Kurulları ve Zümreleri Yönergesi ile 2026 tarihli Sağlık Bilgisi ve Trafik Kültürü Dersi Öğretim Programı incelendi. Programın Türkiye Yüzyılı Maarif Modeli Ortak Metni temelinde yürütülmesi; öğrenme çıktıları, süreç bileşenleri ve programlar arası bileşenlerin birlikte planlanması kararlaştırıldı.</w:t>
      </w:r>
    </w:p>
    <w:p>
      <w:r>
        <w:t>Sağlıklı yaşam, sorumluluk, temizlik, saygı ve yardımseverlik değerlerinin ayrı bir konu gibi anlatılmayıp öğrencinin günlük yaşam kararlarına yansıtılması kabul edildi. Bilgi, görsel ve dijital okuryazarlık çalışmalarında kaynağın güvenilirliğinin sorgulanması; sağlıkla ilgili kişisel bilgilerin sınıf içinde açıklanmaması kararlaştırıldı.</w:t>
      </w:r>
    </w:p>
    <w:p>
      <w:pPr>
        <w:pStyle w:val="Heading2"/>
      </w:pPr>
      <w:r>
        <w:t>3. Yıllık Planların ve Tema Sürelerinin Düzenlenmesi</w:t>
      </w:r>
    </w:p>
    <w:p>
      <w:r>
        <w:t>Programdaki Sağlıklı İnsan ve Toplum, Sağlıklı Yaşam Alışkanlıkları, Ergenlik ve Sosyal Yaşam, Hayat Kurtaran Bilgiler ile Güvenli Ulaşım ve Trafik Bilinci temalarının sırası ve süreleri görüşüldü. Sekiz, altı, beş, altı ve dokuz ders saatlik sürelerin yıllık plana korunarak aktarılması kararlaştırıldı.</w:t>
      </w:r>
    </w:p>
    <w:p>
      <w:r>
        <w:t>İki ders saatlik okul temelli planlama süresinin okulun çevresindeki sağlık ve trafik ihtiyaçlarına göre kullanılması kabul edildi. Resmî tatiller, sınav haftaları ve okul etkinliklerinin hesaba katılması; bir temanın süresinin diğer temaları daraltacak biçimde değiştirilmemesi kararlaştırıldı.</w:t>
      </w:r>
    </w:p>
    <w:p>
      <w:pPr>
        <w:pStyle w:val="Heading2"/>
      </w:pPr>
      <w:r>
        <w:t>4. Sağlık Kaynaklarının ve Öğretim Materyallerinin Seçilmesi</w:t>
      </w:r>
    </w:p>
    <w:p>
      <w:r>
        <w:t>Sağlıkla ilgili içeriklerin Sağlık Bakanlığı, Millî Eğitim Bakanlığı ve bilimsel kurumsal kaynaklardan doğrulanması görüşüldü. Sosyal medya paylaşımlarının, ürün reklamlarının ve kişisel deneyimlerin bilimsel kanıt gibi sunulmaması; tedavi önerisi içeren materyallerin kullanılmaması kararlaştırıldı.</w:t>
      </w:r>
    </w:p>
    <w:p>
      <w:r>
        <w:t>Ders kitabının yanında örnek olay, bilgi notu, kısa video, broşür ve görsel verilerden yararlanılması kabul edildi. Materyallerin yaşa uygun, erişilebilir ve reklamsız olması; öğrencilerden sağlık durumlarını açıklamalarının ya da ücretli uygulama kullanmalarının istenmemesi kararlaştırıldı.</w:t>
      </w:r>
    </w:p>
    <w:p>
      <w:pPr>
        <w:pStyle w:val="Heading2"/>
      </w:pPr>
      <w:r>
        <w:t>5. Sağlıklı İnsan ve Toplum Temasının Planlanması</w:t>
      </w:r>
    </w:p>
    <w:p>
      <w:r>
        <w:t>Birey sağlığı ile toplum sağlığı arasındaki ilişkinin koruyucu sağlık hizmetleri, hijyen, bulaşıcı hastalıklardan korunma ve akılcı ilaç kullanımı üzerinden ele alınması görüşüldü. Öğrencilerin belirti ve hastalık adlarından hareketle kendilerine veya başkalarına tanı koymaya yönlendirilmemesi kararlaştırıldı.</w:t>
      </w:r>
    </w:p>
    <w:p>
      <w:r>
        <w:t>İlaçların yalnız hekim önerisi ve kullanım talimatına uygun kullanılmasının önemi üzerinde durulması kabul edildi. Toplum sağlığı örneklerinde kişileri damgalayan dilden kaçınılması, engellilik ve kronik hastalık konularının hak temelli ve saygılı bir yaklaşımla işlenmesi kararlaştırıldı.</w:t>
      </w:r>
    </w:p>
    <w:p>
      <w:pPr>
        <w:pStyle w:val="Heading2"/>
      </w:pPr>
      <w:r>
        <w:t>6. Sağlıklı Yaşam Alışkanlıklarının Görüşülmesi</w:t>
      </w:r>
    </w:p>
    <w:p>
      <w:r>
        <w:t>Beslenme, fiziksel etkinlik, uyku ve kişisel temizlik alışkanlıklarının öğrencinin günlük düzeniyle ilişkilendirilmesi görüşüldü. Tek bir besin veya ürünün mucizevi sonuç sağlayacağı yönündeki iddiaların sorgulanması, örnek menülerin alerji ve sağlık farklılıkları gözetilerek değerlendirilmesi kararlaştırıldı.</w:t>
      </w:r>
    </w:p>
    <w:p>
      <w:r>
        <w:t>Beden kütle indeksi gibi verilerin sınıf içinde öğrenci karşılaştırmak amacıyla kullanılmaması kabul edildi. Ekran süresi, dinlenme ve hareket alışkanlıklarına ilişkin çalışmaların yargılayıcı olmadan yürütülmesi; öğrencinin ulaşılabilir bir hedef belirleyip süreci yansıtmasının desteklenmesi kararlaştırıldı.</w:t>
      </w:r>
    </w:p>
    <w:p>
      <w:pPr>
        <w:pStyle w:val="Heading2"/>
      </w:pPr>
      <w:r>
        <w:t>7. Ergenlik ve Sosyal Yaşam Konularının Düzenlenmesi</w:t>
      </w:r>
    </w:p>
    <w:p>
      <w:r>
        <w:t>Ergenlikteki fiziksel, sosyal ve duygusal değişimlerin bireysel farklılıklar gözetilerek bilimsel bir dille ele alınması görüşüldü. Öğrencilerin kişisel yaşantılarını sınıfta anlatmaya zorlanmaması, soru kutusu gibi mahremiyeti koruyan yöntemlerden yararlanılması kararlaştırıldı.</w:t>
      </w:r>
    </w:p>
    <w:p>
      <w:r>
        <w:t>Sağlıklı iletişim, stresle baş etme ve yardım isteme yollarının gerçek yaşam örnekleri üzerinden konuşulması kabul edildi. Akran baskısı ve bağımlılık konularında korkutucu görüntüler yerine riskleri tanıma, güvenilir yetişkine başvurma ve sağlıklı seçenek geliştirme becerilerinin öne çıkarılması kararlaştırıldı.</w:t>
      </w:r>
    </w:p>
    <w:p>
      <w:pPr>
        <w:pStyle w:val="Heading2"/>
      </w:pPr>
      <w:r>
        <w:t>8. İlk Yardım Çalışmalarının Güvenli Biçimde Yürütülmesi</w:t>
      </w:r>
    </w:p>
    <w:p>
      <w:r>
        <w:t>Hayat Kurtaran Bilgiler temasında olay yeri güvenliği, yardım çağırma ve temel ilk yardım ilkelerinin doğru sırayla ele alınması görüşüldü. Öğrencilerin yetkilerini aşan müdahalelere yönlendirilmemesi ve uygulamaların öğretmen gözetiminde güvenli materyallerle yapılması kararlaştırıldı.</w:t>
      </w:r>
    </w:p>
    <w:p>
      <w:r>
        <w:t>Acil durumda 112’ye verilecek bilgilerin örnek olaylarla çalışılması kabul edildi. Yaralı taşıma veya solunum yolu müdahalesi gibi uygulamalarda güncel resmî ilk yardım kaynaklarının esas alınması; öğrenciler üzerinde riskli canlandırma yapılmaması ve okulun acil durum planıyla bağlantı kurulması kararlaştırıldı.</w:t>
      </w:r>
    </w:p>
    <w:p>
      <w:pPr>
        <w:pStyle w:val="Heading2"/>
      </w:pPr>
      <w:r>
        <w:t>9. Trafik Kültürü ve Güvenli Ulaşımın Planlanması</w:t>
      </w:r>
    </w:p>
    <w:p>
      <w:r>
        <w:t>Yaya, yolcu, bisikletli ve sürücü sorumluluklarının öğrencilerin okul çevresindeki ulaşım deneyimleriyle ilişkilendirilmesi görüşüldü. Emniyet kemeri, kask, yaya geçidi, hız ve dikkat dağınıklığı konularının kural ezberinden çok sonuçlarıyla değerlendirilmesi kararlaştırıldı.</w:t>
      </w:r>
    </w:p>
    <w:p>
      <w:r>
        <w:t>Okul çevresindeki güvenli ve riskli noktaların kişisel bilgi içermeyen kroki veya gözlem notlarıyla incelenmesi kabul edildi. Trafik kazası görüntülerinin öğrencileri örseleyecek biçimde kullanılmaması; trafik görevlileriyle yapılacak çalışmaların yönetim izni ve güvenlik tedbirleriyle planlanması kararlaştırıldı.</w:t>
      </w:r>
    </w:p>
    <w:p>
      <w:pPr>
        <w:pStyle w:val="Heading2"/>
      </w:pPr>
      <w:r>
        <w:t>10. Ölçme ve Değerlendirme Esaslarının Belirlenmesi</w:t>
      </w:r>
    </w:p>
    <w:p>
      <w:r>
        <w:t>Programın süreç odaklı ve beceri temelli değerlendirme yaklaşımı görüşüldü. Her temada poster, sunu, broşür veya rapor gibi en az bir performans ürününe yer verilmesi; görevlerin mümkün olduğunca ders içinde ve öğrencinin kendi çalışmasını gösterecek biçimde yürütülmesi kararlaştırıldı.</w:t>
      </w:r>
    </w:p>
    <w:p>
      <w:r>
        <w:t>Dereceli puanlama anahtarlarının görevden önce açıklanması, öz ve akran değerlendirmesinin kişisel yargıya dönüşmemesi kabul edildi. Yazılı sınavlarda yalnız tanım hatırlatmak yerine günlük yaşam durumlarını yorumlama ve gerekçeli karar verme becerilerinin ölçülmesi; sonuçların e-Okul’a süresinde işlenmesi kararlaştırıldı.</w:t>
      </w:r>
    </w:p>
    <w:p>
      <w:pPr>
        <w:pStyle w:val="Heading2"/>
        <w:pageBreakBefore/>
      </w:pPr>
      <w:r>
        <w:t>11. Farklılaştırma ve BEP Uygulamalarının Görüşülmesi</w:t>
      </w:r>
    </w:p>
    <w:p>
      <w:r>
        <w:t>Öğrencilerin sağlık okuryazarlığı, dil kullanımı ve önceki öğrenmelerindeki farklılıkların kısa ön değerlendirmelerle belirlenmesi görüşüldü. Uzun metinlerin bölümlere ayrılması, görsellerin açıklanması, yönergelerin aşamalandırılması ve farklı ürün seçenekleri sunulması kararlaştırıldı.</w:t>
      </w:r>
    </w:p>
    <w:p>
      <w:r>
        <w:t>BEP kapsamındaki amaç, materyal, süre ve değerlendirme uyarlamalarının ilgili kurul kararları doğrultusunda yapılması kabul edildi. Sağlık veya engel bilgisinin gizli tutulması, akran desteğinin öğrencinin yerine görev yapmaya dönüşmemesi; ileri düzey öğrencilerin güncel bir sağlık veya trafik sorununa kanıta dayalı çözüm geliştirmesi kararlaştırıldı.</w:t>
      </w:r>
    </w:p>
    <w:p>
      <w:pPr>
        <w:pStyle w:val="Heading2"/>
      </w:pPr>
      <w:r>
        <w:t>12. Okul İş Birliğinin ve Toplantı Sonuçlarının Karara Bağlanması</w:t>
      </w:r>
    </w:p>
    <w:p>
      <w:pPr>
        <w:keepNext/>
        <w:keepLines/>
      </w:pPr>
      <w:r>
        <w:t>Okul rehberlik servisi, beden eğitimi, biyoloji ve diğer ilgili derslerle yapılabilecek çalışmalar görüşüldü. Sağlıklı yaşam, bağımlılıktan korunma, ilk yardım ve trafik güvenliği etkinliklerinin okul takvimiyle uyumlu yürütülmesi; kurum dışı uzman davetlerinin yönetim onayıyla yapılması kararlaştırıldı.</w:t>
      </w:r>
    </w:p>
    <w:p>
      <w:pPr>
        <w:keepNext/>
        <w:keepLines/>
      </w:pPr>
      <w:r>
        <w:t>Gündemdeki bütün maddeler görüşüldü ve kararlar oybirliğiyle kabul edildi. Alınan kararların yıllık planlara ve ders hazırlıklarına yansıtılmasına, okul müdürünün onayından sonra uygulanmasına karar verildi. Başka söz alan olmadığından toplantı saat ......................’de kapatıldı ve tutanak birlikte okunarak imza altına alındı.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Başkanı</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Öğretmeni</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Müdür Yardımcısı</w:t>
        <w:tab/>
        <w:t>Müdür Yardımcısı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80" w:line="240" w:lineRule="auto"/>
      <w:ind w:firstLine="567"/>
      <w:jc w:val="both"/>
    </w:pPr>
    <w:rPr>
      <w:rFonts w:ascii="Times New Roman" w:hAnsi="Times New Roman" w:eastAsia="Times New Roman" w:cs="Times New Roman"/>
      <w:color w:val="000000"/>
      <w:sz w:val="23"/>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80" w:line="240" w:lineRule="auto"/>
      <w:ind w:firstLine="0"/>
      <w:jc w:val="left"/>
      <w:outlineLvl w:val="0"/>
    </w:pPr>
    <w:rPr>
      <w:rFonts w:cstheme="majorBidi" w:ascii="Times New Roman" w:hAnsi="Times New Roman" w:eastAsia="Times New Roman" w:cs="Times New Roman"/>
      <w:b/>
      <w:bCs/>
      <w:color w:val="000000"/>
      <w:sz w:val="20"/>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80" w:line="240" w:lineRule="auto"/>
      <w:ind w:firstLine="0"/>
      <w:jc w:val="left"/>
      <w:outlineLvl w:val="1"/>
    </w:pPr>
    <w:rPr>
      <w:rFonts w:cstheme="majorBidi" w:ascii="Times New Roman" w:hAnsi="Times New Roman" w:eastAsia="Times New Roman" w:cs="Times New Roman"/>
      <w:b/>
      <w:bCs/>
      <w:color w:val="000000"/>
      <w:sz w:val="20"/>
      <w:szCs w:val="26"/>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80" w:line="240" w:lineRule="auto" w:before="0"/>
      <w:ind w:firstLine="0"/>
      <w:contextualSpacing/>
      <w:jc w:val="center"/>
    </w:pPr>
    <w:rPr>
      <w:rFonts w:cstheme="majorBidi" w:ascii="Times New Roman" w:hAnsi="Times New Roman" w:eastAsia="Times New Roman" w:cs="Times New Roman"/>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80"/>
      <w:ind w:firstLine="0"/>
      <w:jc w:val="left"/>
    </w:pPr>
    <w:rPr>
      <w:sz w:val="22"/>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Sağlık Bilgisi ve Trafik Kültürü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