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Ortaokulu Müdürlüğü</w:t>
      </w:r>
    </w:p>
    <w:p>
      <w:pPr>
        <w:pStyle w:val="Title"/>
      </w:pPr>
      <w:r>
        <w:t>2026–2027 Eğitim Öğretim Yılı</w:t>
        <w:br/>
        <w:t>Sosyal Bilgiler Dersi Sene Başı Zümre Öğretmenler Kurulu</w:t>
        <w:br/>
        <w:t>Toplantı Tutanağı</w:t>
      </w:r>
    </w:p>
    <w:p>
      <w:pPr>
        <w:pStyle w:val="Meta"/>
      </w:pPr>
      <w:r>
        <w:t>Toplantı No: 1</w:t>
      </w:r>
    </w:p>
    <w:p>
      <w:pPr>
        <w:pStyle w:val="Meta"/>
      </w:pPr>
      <w:r>
        <w:t>Toplantı Tarihi: ......................</w:t>
      </w:r>
    </w:p>
    <w:p>
      <w:pPr>
        <w:pStyle w:val="Meta"/>
      </w:pPr>
      <w:r>
        <w:t>Toplantı Saati: ......................</w:t>
      </w:r>
    </w:p>
    <w:p>
      <w:pPr>
        <w:pStyle w:val="Meta"/>
      </w:pPr>
      <w:r>
        <w:t>Toplantı Yeri: ......................</w:t>
      </w:r>
    </w:p>
    <w:p>
      <w:pPr>
        <w:pStyle w:val="Meta"/>
      </w:pPr>
      <w:r>
        <w:t>Zümre Başkanı: ......................</w:t>
      </w:r>
    </w:p>
    <w:p>
      <w:pPr>
        <w:pStyle w:val="Meta"/>
      </w:pPr>
      <w:r>
        <w:t>Katılanlar: ......................</w:t>
      </w:r>
    </w:p>
    <w:p>
      <w:pPr>
        <w:pStyle w:val="Heading1"/>
      </w:pPr>
      <w:r>
        <w:t>Gündem Maddeleri</w:t>
      </w:r>
    </w:p>
    <w:p>
      <w:pPr>
        <w:pStyle w:val="Agenda"/>
        <w:numPr>
          <w:ilvl w:val="0"/>
          <w:numId w:val="90"/>
        </w:numPr>
      </w:pPr>
      <w:r>
        <w:t>Açılışın Yapılması ve Çalışma Önceliklerinin Görüşülmesi</w:t>
      </w:r>
    </w:p>
    <w:p>
      <w:pPr>
        <w:pStyle w:val="Agenda"/>
        <w:numPr>
          <w:ilvl w:val="0"/>
          <w:numId w:val="90"/>
        </w:numPr>
      </w:pPr>
      <w:r>
        <w:t>Mevzuatın ve Sınıf Düzeylerine Göre Programların İncelenmesi</w:t>
      </w:r>
    </w:p>
    <w:p>
      <w:pPr>
        <w:pStyle w:val="Agenda"/>
        <w:numPr>
          <w:ilvl w:val="0"/>
          <w:numId w:val="90"/>
        </w:numPr>
      </w:pPr>
      <w:r>
        <w:t>Maarif Modeli’nde Farklılaştırmanın Planlanması</w:t>
      </w:r>
    </w:p>
    <w:p>
      <w:pPr>
        <w:pStyle w:val="Agenda"/>
        <w:numPr>
          <w:ilvl w:val="0"/>
          <w:numId w:val="90"/>
        </w:numPr>
      </w:pPr>
      <w:r>
        <w:t>Beşinci Sınıfa Geçiş ve Telafi Çalışmalarının Görüşülmesi</w:t>
      </w:r>
    </w:p>
    <w:p>
      <w:pPr>
        <w:pStyle w:val="Agenda"/>
        <w:numPr>
          <w:ilvl w:val="0"/>
          <w:numId w:val="90"/>
        </w:numPr>
      </w:pPr>
      <w:r>
        <w:t>Kavramların Öğrenilmesi ve Metinlerin Anlaşılmasının Desteklenmesi</w:t>
      </w:r>
    </w:p>
    <w:p>
      <w:pPr>
        <w:pStyle w:val="Agenda"/>
        <w:numPr>
          <w:ilvl w:val="0"/>
          <w:numId w:val="90"/>
        </w:numPr>
      </w:pPr>
      <w:r>
        <w:t>Kronoloji ve Neden-Sonuç İlişkisinin Geliştirilmesi</w:t>
      </w:r>
    </w:p>
    <w:p>
      <w:pPr>
        <w:pStyle w:val="Agenda"/>
        <w:numPr>
          <w:ilvl w:val="0"/>
          <w:numId w:val="90"/>
        </w:numPr>
      </w:pPr>
      <w:r>
        <w:t>Harita ve Grafik Okuma Güçlüklerinin Giderilmesi</w:t>
      </w:r>
    </w:p>
    <w:p>
      <w:pPr>
        <w:pStyle w:val="Agenda"/>
        <w:numPr>
          <w:ilvl w:val="0"/>
          <w:numId w:val="90"/>
        </w:numPr>
      </w:pPr>
      <w:r>
        <w:t>Kaynak Sorgulama ve Dijital Bilgi Güvenliğinin İşlenmesi</w:t>
      </w:r>
    </w:p>
    <w:p>
      <w:pPr>
        <w:pStyle w:val="Agenda"/>
        <w:numPr>
          <w:ilvl w:val="0"/>
          <w:numId w:val="90"/>
        </w:numPr>
      </w:pPr>
      <w:r>
        <w:t>Demokratik Katılım ve Günlük Yaşam Bağlantılarının Kurulması</w:t>
      </w:r>
    </w:p>
    <w:p>
      <w:pPr>
        <w:pStyle w:val="Agenda"/>
        <w:numPr>
          <w:ilvl w:val="0"/>
          <w:numId w:val="90"/>
        </w:numPr>
      </w:pPr>
      <w:r>
        <w:t>Esnek Gruplama ve Zenginleştirme Çalışmalarının Düzenlenmesi</w:t>
      </w:r>
    </w:p>
    <w:p>
      <w:pPr>
        <w:pStyle w:val="Agenda"/>
        <w:numPr>
          <w:ilvl w:val="0"/>
          <w:numId w:val="90"/>
        </w:numPr>
      </w:pPr>
      <w:r>
        <w:t>BEP ve Erişilebilir Öğrenme Ortamlarının Görüşülmesi</w:t>
      </w:r>
    </w:p>
    <w:p>
      <w:pPr>
        <w:pStyle w:val="Agenda"/>
        <w:numPr>
          <w:ilvl w:val="0"/>
          <w:numId w:val="90"/>
        </w:numPr>
      </w:pPr>
      <w:r>
        <w:t>Ölçme Araçlarının ve Geri Bildirimin Düzenlenmesi</w:t>
      </w:r>
    </w:p>
    <w:p>
      <w:pPr>
        <w:pStyle w:val="Agenda"/>
        <w:numPr>
          <w:ilvl w:val="0"/>
          <w:numId w:val="90"/>
        </w:numPr>
      </w:pPr>
      <w:r>
        <w:t>Sekizinci Sınıfta İnkılap Tarihi Öğrenmelerinin Desteklenmesi</w:t>
      </w:r>
    </w:p>
    <w:p>
      <w:pPr>
        <w:pStyle w:val="Agenda"/>
        <w:numPr>
          <w:ilvl w:val="0"/>
          <w:numId w:val="90"/>
        </w:numPr>
      </w:pPr>
      <w:r>
        <w:t>Araştırma, Okul Dışı Öğrenme ve Aile İş Birliğinin Planlanması</w:t>
      </w:r>
    </w:p>
    <w:p>
      <w:pPr>
        <w:pStyle w:val="Agenda"/>
        <w:numPr>
          <w:ilvl w:val="0"/>
          <w:numId w:val="90"/>
        </w:numPr>
      </w:pPr>
      <w:r>
        <w:t>Öğretmen Paylaşımının ve Kararların Sonuçlandırılması</w:t>
      </w:r>
    </w:p>
    <w:p>
      <w:pPr>
        <w:pStyle w:val="Heading1"/>
        <w:pageBreakBefore/>
      </w:pPr>
      <w:r>
        <w:t>Gündem Maddelerinin Görüşülmesi</w:t>
      </w:r>
    </w:p>
    <w:p>
      <w:pPr>
        <w:pStyle w:val="Heading2"/>
      </w:pPr>
      <w:r>
        <w:t>1. Açılışın Yapılması ve Çalışma Önceliklerinin Görüşülmesi</w:t>
      </w:r>
    </w:p>
    <w:p>
      <w:r>
        <w:t>...................... Ortaokulu sosyal bilgiler zümresi, ...................... tarihinde saat ......................’de ...................... başkanlığında toplandı. Katılım belirlendi, yazmanlık görevi ...................... tarafından üstlenildi. Öğrencilerin öğrenme ihtiyaçlarına göre derslerin hazırlanmasını esas alan gündem kabul edildi.</w:t>
      </w:r>
    </w:p>
    <w:p>
      <w:r>
        <w:t>Öğretmenler, öğrencinin yanlış cevabının hangi güçlükten kaynaklandığını anlamadan ek ödev verilmesinin yeterli olmayacağını belirtti. Kavram bilgisi, okuduğunu anlama, kronoloji ve harita okuma durumlarının ayrı gözlenmesi; desteğin bu gözlemlere göre düzenlenmesi kararlaştırıldı.</w:t>
      </w:r>
    </w:p>
    <w:p>
      <w:pPr>
        <w:pStyle w:val="Heading2"/>
      </w:pPr>
      <w:r>
        <w:t>2. Mevzuatın ve Sınıf Düzeylerine Göre Programların İncelenmesi</w:t>
      </w:r>
    </w:p>
    <w:p>
      <w:r>
        <w:t>İlköğretim kurumlarına ilişkin yönetmelik, Eğitim Kurulları ve Zümreleri Yönergesi ile değerlendirme hükümleri görüşüldü. Ders planlarının resmî takvim, haftalık ders çizelgesi ve Bakanlık açıklamalarıyla birlikte hazırlanması, destek çalışmalarının ders programının yerine geçirilmemesi kararlaştırıldı.</w:t>
      </w:r>
    </w:p>
    <w:p>
      <w:r>
        <w:t>2026–2027 yılında 5, 6 ve 7. sınıf Sosyal Bilgiler derslerinde Türkiye Yüzyılı Maarif Modeli’nin uygulanması kabul edildi. 8. sınıf T.C. İnkılap Tarihi ve Atatürkçülük dersinin yürürlükteki kendi programıyla ayrı ele alınması, destek materyallerinin ilgili yaş ve ders kapsamını koruması kararlaştırıldı.</w:t>
      </w:r>
    </w:p>
    <w:p>
      <w:pPr>
        <w:pStyle w:val="Heading2"/>
      </w:pPr>
      <w:r>
        <w:t>3. Maarif Modeli’nde Farklılaştırmanın Planlanması</w:t>
      </w:r>
    </w:p>
    <w:p>
      <w:r>
        <w:t>Öğrenme çıktıları, süreç bileşenleri ve öğrenme kanıtları incelendi. Ön değerlendirmede görülen ihtiyaçlara göre köprü kurma etkinlikleri hazırlanması, aynı amaca ulaşmak için metin, görsel ve sözlü açıklama gibi farklı yollar sunulması kararlaştırıldı.</w:t>
      </w:r>
    </w:p>
    <w:p>
      <w:r>
        <w:t>Destekleme ve zenginleştirmenin birlikte yürütülmesi kabul edildi. Sosyal-duygusal öğrenmenin görüş ayrılıklarını saygıyla karşılama ve yardım isteme davranışlarıyla; erdem-değer-eylem çerçevesinin sorumluluk, adalet ve ortak mirası koruma çalışmalarıyla ilişkilendirilmesi kararlaştırıldı.</w:t>
      </w:r>
    </w:p>
    <w:p>
      <w:pPr>
        <w:pStyle w:val="Heading2"/>
      </w:pPr>
      <w:r>
        <w:t>4. Beşinci Sınıfa Geçiş ve Telafi Çalışmalarının Görüşülmesi</w:t>
      </w:r>
    </w:p>
    <w:p>
      <w:r>
        <w:t>Beşinci sınıfa başlayan öğrencilerin dersin temel kavramları ve çalışma biçimiyle tanıştırılması görüşüldü. Kısa gözlem görevleriyle ön bilgilerin belirlenmesi, yeni okul düzenine uyum ve araştırma alışkanlığının birlikte desteklenmesi kararlaştırıldı.</w:t>
      </w:r>
    </w:p>
    <w:p>
      <w:r>
        <w:t>Bakanlığın 2026–2027 yılını da kapsayan beşinci sınıf telafi programı önerisinin yıllık plan hazırlanırken dikkate alınması kabul edildi. Telafi çalışmalarının öğrenci ihtiyacıyla ilişkilendirilmesi, gerekli ön öğrenmeler tamamlandıktan sonra ilgili öğrenme çıktısına yeniden dönülmesi kararlaştırıldı.</w:t>
      </w:r>
    </w:p>
    <w:p>
      <w:pPr>
        <w:pStyle w:val="Heading2"/>
      </w:pPr>
      <w:r>
        <w:t>5. Kavramların Öğrenilmesi ve Metinlerin Anlaşılmasının Desteklenmesi</w:t>
      </w:r>
    </w:p>
    <w:p>
      <w:r>
        <w:t>Öğretmenler, öğrencilerin vatandaşlık, egemenlik, kültür ve üretim gibi kavramları günlük anlamlarıyla karıştırabildiğini belirtti. Kavramların örnek ve karşı örneklerle açıklanması, kısa öğrenci cümleleriyle anlama durumunun kontrol edilmesi kararlaştırıldı.</w:t>
      </w:r>
    </w:p>
    <w:p>
      <w:r>
        <w:t>Uzun kaynak metinlerin anlam bütünlüğü korunarak bölümlenmesi, bilinmeyen sözcüklerin bağlam içinde açıklanması kabul edildi. Öğrenciye cevabı doğrudan vermek yerine ilgili cümleyi bulduracak sorular yöneltilmesi; metni anlamanın yalnız sesli okuma hızına göre değerlendirilmemesi kararlaştırıldı.</w:t>
      </w:r>
    </w:p>
    <w:p>
      <w:pPr>
        <w:pStyle w:val="Heading2"/>
      </w:pPr>
      <w:r>
        <w:t>6. Kronoloji ve Neden-Sonuç İlişkisinin Geliştirilmesi</w:t>
      </w:r>
    </w:p>
    <w:p>
      <w:r>
        <w:t>Tarihleri hatırlayan öğrencilerin olayların sırasını ve ilişkisini her zaman açıklayamadığı görüşüldü. Az sayıda olay kartıyla zaman şeridi kurulması, olayların önce-sonra ilişkilerinin sözlü olarak gerekçelendirilmesi ve ilerleyen aşamada yeni olaylar eklenmesi kararlaştırıldı.</w:t>
      </w:r>
    </w:p>
    <w:p>
      <w:r>
        <w:t>Bir olayın nedeni ile sonucunun ayrı sorularla ele alınması kabul edildi. Aynı olayın birden fazla nedeni olabileceğinin uygun örneklerle gösterilmesi, geçmişteki insan davranışlarının dönemin imkân ve koşulları içinde değerlendirilmesi kararlaştırıldı.</w:t>
      </w:r>
    </w:p>
    <w:p>
      <w:pPr>
        <w:pStyle w:val="Heading2"/>
      </w:pPr>
      <w:r>
        <w:t>7. Harita ve Grafik Okuma Güçlüklerinin Giderilmesi</w:t>
      </w:r>
    </w:p>
    <w:p>
      <w:r>
        <w:t>Harita incelemesinde önce başlığın ve açıklama bölümünün okunması, ardından yön ve semboller üzerinden bilgi çıkarılması görüşüldü. Öğrencilere aynı anda çok sayıda ayrıntı vermek yerine aşamalı sorular sunulması; yardım azaldıkça bağımsız yorum istenmesi kararlaştırıldı.</w:t>
      </w:r>
    </w:p>
    <w:p>
      <w:r>
        <w:t>Tablo ve grafiklerde başlık, kategori ve birimlerin belirlenmesi kabul edildi. Veride bulunmayan bir sonucun çıkarılamayacağının örneklerle gösterilmesi; mekânsal ilişkilerin yalnız yer adı ezberiyle değil uygun harita ve çevre örnekleriyle çalışılması kararlaştırıldı.</w:t>
      </w:r>
    </w:p>
    <w:p>
      <w:pPr>
        <w:pStyle w:val="Heading2"/>
      </w:pPr>
      <w:r>
        <w:t>8. Kaynak Sorgulama ve Dijital Bilgi Güvenliğinin İşlenmesi</w:t>
      </w:r>
    </w:p>
    <w:p>
      <w:r>
        <w:t>Öğrencilerin karşılaştıkları her metni doğru bilgi saymaması için yazar, tarih, amaç ve dayanak sorularının kullanılması görüşüldü. Olgu ile görüşün kısa örneklerde ayrılması, bir iddianın başka güvenilir kaynaklarla karşılaştırılması kararlaştırıldı.</w:t>
      </w:r>
    </w:p>
    <w:p>
      <w:r>
        <w:t>Dijital içeriklerin kaynak belirtilmeden öğrenci ürünü olarak sunulmaması kabul edildi. Araştırma sırasında kişisel hesap ve öğrenci bilgileri paylaşılmaması, öğretmen denetiminde uygun kaynaklara yönelinmesi ve görsellerin kullanım koşullarının gözetilmesi kararlaştırıldı.</w:t>
      </w:r>
    </w:p>
    <w:p>
      <w:pPr>
        <w:pStyle w:val="Heading2"/>
      </w:pPr>
      <w:r>
        <w:t>9. Demokratik Katılım ve Günlük Yaşam Bağlantılarının Kurulması</w:t>
      </w:r>
    </w:p>
    <w:p>
      <w:r>
        <w:t>Sınıf tartışmalarında yalnız istekli öğrencilerin konuşmasının diğer öğrencilerin katılımını sınırladığı görüşüldü. Önce bireysel düşünme ve ikili paylaşım süresi verilmesi; farklı görüşlerin kişiye değil gerekçeye odaklanılarak tartışılması kararlaştırıldı.</w:t>
      </w:r>
    </w:p>
    <w:p>
      <w:r>
        <w:t>Ekonomi ve çevre konularında kurmaca aile bütçeleri, tasarruf ve ortak alan kullanımı gibi örneklerden yararlanılması kabul edildi. Ailelerin gelir düzeyinin sorgulanmaması, öğrencilerin siyasi veya ekonomik tercihler üzerinden sınıflandırılmaması kararlaştırıldı.</w:t>
      </w:r>
    </w:p>
    <w:p>
      <w:pPr>
        <w:pStyle w:val="Heading2"/>
      </w:pPr>
      <w:r>
        <w:t>10. Esnek Gruplama ve Zenginleştirme Çalışmalarının Düzenlenmesi</w:t>
      </w:r>
    </w:p>
    <w:p>
      <w:r>
        <w:t>Kısa süreli destek gruplarının belirlenen beceri ihtiyacına göre oluşturulması görüşüldü. Grupların sabit başarı etiketlerine dönüşmemesi, ihtiyacı değişen öğrencinin farklı etkinliğe geçebilmesi ve bağımsız çalışmaya yeniden katılması kararlaştırıldı.</w:t>
      </w:r>
    </w:p>
    <w:p>
      <w:r>
        <w:t>İleri düzey öğrenciler için iki tarihsel kaynağı karşılaştırma, çevre sorununa kanıta dayalı öneri geliştirme ve bir haritanın sınırlılıklarını tartışma görevleri hazırlanması kabul edildi. Hızlı bitirenlerin sürekli diğer öğrencilere yardım etmekle görevlendirilmemesi kararlaştırıldı.</w:t>
      </w:r>
    </w:p>
    <w:p>
      <w:pPr>
        <w:pStyle w:val="Heading2"/>
      </w:pPr>
      <w:r>
        <w:t>11. BEP ve Erişilebilir Öğrenme Ortamlarının Görüşülmesi</w:t>
      </w:r>
    </w:p>
    <w:p>
      <w:r>
        <w:t>Genel sınıf içi desteğin BEP sürecinden farklı olduğu görüşüldü. BEP kapsamındaki öğrenciler için ilgili raporlar ve BEP geliştirme birimi kararlarına uygun hedef, öğretim ve değerlendirme düzenlenmesi; ortak etkinliklere uygun katılım yollarının belirlenmesi kararlaştırıldı.</w:t>
      </w:r>
    </w:p>
    <w:p>
      <w:r>
        <w:t>Okunaklı yazı, açık yönerge, sade görsel ve gerekli yardımcı araçların kullanılması kabul edildi. Öğrenciye ilişkin özel bilgilerin sınıfta açıklanmaması, öğretmenin gözlemle tanı koymaması ve süregelen güçlüklerde aile ile rehberlik hizmetlerinin birlikte çalışması kararlaştırıldı.</w:t>
      </w:r>
    </w:p>
    <w:p>
      <w:pPr>
        <w:pStyle w:val="Heading2"/>
      </w:pPr>
      <w:r>
        <w:t>12. Ölçme Araçlarının ve Geri Bildirimin Düzenlenmesi</w:t>
      </w:r>
    </w:p>
    <w:p>
      <w:r>
        <w:t>Okulca hazırlanacak yazılılarda konu soru dağılım tablolarına uygun açık uçlu veya açık uçlu ve kısa cevaplı sorular kullanılması görüşüldü. Puanlama anahtarının önceden hazırlanması, kanıtı doğru kullanan farklı ifadelerin kabul edilmesi ve ortak sınavlarda ilgili resmî açıklamalara uyulması kararlaştırıldı.</w:t>
      </w:r>
    </w:p>
    <w:p>
      <w:r>
        <w:t>Kısa ders içi görevler ve öğrenci ürünleriyle ilerlemenin izlenmesi kabul edildi. Geri bildirimin yalnız eksikleri sıralamaması, öğrencinin sonraki çalışmada yapabileceği somut bir adıma yönelmesi; BEP değerlendirmelerinin bireyselleştirilmiş esaslarla yürütülmesi kararlaştırıldı.</w:t>
      </w:r>
    </w:p>
    <w:p>
      <w:pPr>
        <w:pStyle w:val="Heading2"/>
      </w:pPr>
      <w:r>
        <w:t>13. Sekizinci Sınıfta İnkılap Tarihi Öğrenmelerinin Desteklenmesi</w:t>
      </w:r>
    </w:p>
    <w:p>
      <w:r>
        <w:t>T.C. İnkılap Tarihi ve Atatürkçülük dersinde Millî Mücadele ve Cumhuriyetin kuruluşuna ilişkin olayların zaman, kavram ve neden-sonuç ilişkileriyle çalışılması görüşüldü. Programın öğrenme kapsamının korunması, kısa kaynak incelemelerinden bağımsız yorumlamaya doğru ilerlenmesi kararlaştırıldı.</w:t>
      </w:r>
    </w:p>
    <w:p>
      <w:r>
        <w:t>LGS hazırlığında resmî örnek sorulardan uygun olanlarının kullanılması kabul edildi. Yanlışların metni anlama ve tarihsel ilişki kurma bakımından incelenmesi; sürekli deneme yerine gerekli öğretime zaman ayrılması ve sınav kaygısında rehberlik desteğine başvurulması kararlaştırıldı.</w:t>
      </w:r>
    </w:p>
    <w:p>
      <w:pPr>
        <w:pStyle w:val="Heading2"/>
      </w:pPr>
      <w:r>
        <w:t>14. Araştırma, Okul Dışı Öğrenme ve Aile İş Birliğinin Planlanması</w:t>
      </w:r>
    </w:p>
    <w:p>
      <w:r>
        <w:t>Proje ve araştırmalarda kaynak seçme, bilgi düzenleme ve kendi yorumunu oluşturma sürecinin değerlendirilmesi görüşüldü. Ölçütlerin önceden açıklanması, pahalı malzeme istenmemesi ve ailelerin çalışmayı öğrencinin yerine yapmaması kararlaştırıldı.</w:t>
      </w:r>
    </w:p>
    <w:p>
      <w:r>
        <w:t>Müze ve çevre çalışmalarında amaç, gerekli izinler, erişilebilirlik ve güvenliğin gözetilmesi kabul edildi. Katılamayan öğrencilere eşdeğer sınıf içi çalışma sunulması, programdaki okul temelli sürelerin dikkate alınması ve öğrenci görüntülerinin paylaşımında mahremiyetin korunması kararlaştırıldı.</w:t>
      </w:r>
    </w:p>
    <w:p>
      <w:pPr>
        <w:pStyle w:val="Heading2"/>
      </w:pPr>
      <w:r>
        <w:t>15. Öğretmen Paylaşımının ve Kararların Sonuçlandırılması</w:t>
      </w:r>
    </w:p>
    <w:p>
      <w:pPr>
        <w:keepNext/>
        <w:keepLines/>
      </w:pPr>
      <w:r>
        <w:t>Destek öncesi ve sonrasına ait kimliksiz öğrenci ürünlerinin zümrede birlikte incelenmesi görüşüldü. Bütün üyelerin mutabakatıyla yıl içinde en az bir ders ziyareti planlanması, ziyarette öğrencinin yardımdan bağımsız kaynak yorumlamaya geçişine odaklanılması kararlaştırıldı.</w:t>
      </w:r>
    </w:p>
    <w:p>
      <w:pPr>
        <w:keepNext/>
        <w:keepLines/>
      </w:pPr>
      <w:r>
        <w:t>Gündemdeki bütün kararlar oybirliğiyle kabul edildi. Okul müdürünün onayından sonra uygulanmasına karar verilerek toplantı saat ......................’de kapatıldı. Tutanak katılan öğretmenlerce okunarak imza altına alındı.</w:t>
      </w:r>
    </w:p>
    <w:p>
      <w:pPr>
        <w:pStyle w:val="Heading1"/>
      </w:pPr>
      <w:r>
        <w:t>İmzalar</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Başkanı</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Zümre Öğretmeni</w:t>
        <w:tab/>
        <w:t>Zümre Öğretmeni</w:t>
      </w:r>
    </w:p>
    <w:p>
      <w:pPr>
        <w:pStyle w:val="Signature"/>
        <w:keepNext/>
        <w:tabs>
          <w:tab w:pos="2324" w:val="center"/>
          <w:tab w:pos="6973" w:val="center"/>
        </w:tabs>
      </w:pPr>
      <w:r>
        <w:tab/>
        <w:t>İmza</w:t>
        <w:tab/>
        <w:t>İmza</w:t>
      </w:r>
    </w:p>
    <w:p>
      <w:pPr>
        <w:pStyle w:val="Signature"/>
        <w:keepNext/>
        <w:tabs>
          <w:tab w:pos="2324" w:val="center"/>
          <w:tab w:pos="6973" w:val="center"/>
        </w:tabs>
        <w:spacing w:before="320"/>
      </w:pPr>
      <w:r>
        <w:tab/>
        <w:t>......................</w:t>
        <w:tab/>
        <w:t>......................</w:t>
      </w:r>
    </w:p>
    <w:p>
      <w:pPr>
        <w:pStyle w:val="Signature"/>
        <w:keepNext/>
        <w:tabs>
          <w:tab w:pos="2324" w:val="center"/>
          <w:tab w:pos="6973" w:val="center"/>
        </w:tabs>
      </w:pPr>
      <w:r>
        <w:tab/>
        <w:t>Müdür Yardımcısı</w:t>
        <w:tab/>
        <w:t>Müdür Yardımcısı</w:t>
      </w:r>
    </w:p>
    <w:p>
      <w:pPr>
        <w:pStyle w:val="Signature"/>
        <w:keepNext/>
        <w:tabs>
          <w:tab w:pos="2324" w:val="center"/>
          <w:tab w:pos="6973" w:val="center"/>
        </w:tabs>
      </w:pPr>
      <w:r>
        <w:tab/>
        <w:t>İmza</w:t>
        <w:tab/>
        <w:t>İmza</w:t>
      </w:r>
    </w:p>
    <w:p>
      <w:pPr>
        <w:pStyle w:val="Signature"/>
        <w:keepNext/>
        <w:spacing w:before="360"/>
        <w:jc w:val="center"/>
      </w:pPr>
      <w:r>
        <w:t>Uygundur</w:t>
      </w:r>
    </w:p>
    <w:p>
      <w:pPr>
        <w:pStyle w:val="Signature"/>
        <w:keepNext/>
        <w:jc w:val="center"/>
      </w:pPr>
      <w:r>
        <w:t>......................</w:t>
      </w:r>
    </w:p>
    <w:p>
      <w:pPr>
        <w:pStyle w:val="Signature"/>
        <w:keepNext/>
        <w:jc w:val="center"/>
      </w:pPr>
      <w:r>
        <w:t>......................</w:t>
      </w:r>
    </w:p>
    <w:p>
      <w:pPr>
        <w:pStyle w:val="Signature"/>
        <w:keepNext/>
        <w:jc w:val="center"/>
      </w:pPr>
      <w:r>
        <w:t>Okul Müdürü</w:t>
      </w:r>
    </w:p>
    <w:p>
      <w:pPr>
        <w:pStyle w:val="Signature"/>
        <w:keepNext w:val="0"/>
        <w:jc w:val="center"/>
      </w:pPr>
      <w:r>
        <w:t>İmza</w:t>
      </w:r>
    </w:p>
    <w:sectPr w:rsidR="00FC693F" w:rsidRPr="0006063C" w:rsidSect="00034616">
      <w:pgSz w:w="11906" w:h="16838"/>
      <w:pgMar w:top="1134" w:right="1304" w:bottom="1134"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0">
    <w:lvl w:ilvl="0">
      <w:start w:val="1"/>
      <w:numFmt w:val="decimal"/>
      <w:lvlText w:val="%1."/>
      <w:lvlJc w:val="left"/>
      <w:pPr>
        <w:ind w:left="360" w:hanging="360"/>
      </w:pPr>
    </w:lvl>
  </w:abstractNum>
  <w:num w:numId="90">
    <w:abstractNumId w:val="9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52" w:lineRule="auto"/>
      <w:ind w:firstLine="397"/>
      <w:jc w:val="both"/>
    </w:pPr>
    <w:rPr>
      <w:rFonts w:ascii="Cambria" w:hAnsi="Cambria" w:eastAsia="Cambria" w:cs="Cambria"/>
      <w:color w:val="000000"/>
      <w:sz w:val="24"/>
      <w:lang w:val="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20" w:line="252" w:lineRule="auto"/>
      <w:ind w:firstLine="0"/>
      <w:jc w:val="left"/>
      <w:outlineLvl w:val="0"/>
    </w:pPr>
    <w:rPr>
      <w:rFonts w:cstheme="majorBidi" w:ascii="Cambria" w:hAnsi="Cambria" w:eastAsia="Cambria" w:cs="Cambria"/>
      <w:b/>
      <w:bCs/>
      <w:color w:val="000000"/>
      <w:sz w:val="24"/>
      <w:szCs w:val="28"/>
      <w:lang w:val="tr-TR"/>
    </w:rPr>
  </w:style>
  <w:style w:type="paragraph" w:styleId="Heading2">
    <w:name w:val="heading 2"/>
    <w:basedOn w:val="Normal"/>
    <w:next w:val="Normal"/>
    <w:link w:val="Heading2Char"/>
    <w:uiPriority w:val="9"/>
    <w:unhideWhenUsed/>
    <w:qFormat/>
    <w:rsid w:val="00FC693F"/>
    <w:pPr>
      <w:keepNext/>
      <w:keepLines/>
      <w:widowControl/>
      <w:spacing w:before="200" w:after="120" w:line="252" w:lineRule="auto"/>
      <w:ind w:firstLine="0"/>
      <w:jc w:val="left"/>
      <w:outlineLvl w:val="1"/>
    </w:pPr>
    <w:rPr>
      <w:rFonts w:cstheme="majorBidi" w:ascii="Cambria" w:hAnsi="Cambria" w:eastAsia="Cambria" w:cs="Cambria"/>
      <w:b/>
      <w:bCs/>
      <w:i/>
      <w:color w:val="000000"/>
      <w:sz w:val="24"/>
      <w:szCs w:val="26"/>
      <w:lang w:val="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20" w:line="252" w:lineRule="auto" w:before="0"/>
      <w:ind w:firstLine="0"/>
      <w:contextualSpacing/>
      <w:jc w:val="center"/>
    </w:pPr>
    <w:rPr>
      <w:rFonts w:cstheme="majorBidi" w:ascii="Cambria" w:hAnsi="Cambria" w:eastAsia="Cambria" w:cs="Cambria"/>
      <w:b/>
      <w:color w:val="000000"/>
      <w:spacing w:val="5"/>
      <w:kern w:val="28"/>
      <w:sz w:val="26"/>
      <w:szCs w:val="52"/>
      <w:lang w:val="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
    <w:name w:val="Meta"/>
    <w:basedOn w:val="Normal"/>
    <w:pPr>
      <w:spacing w:line="240" w:lineRule="auto" w:after="60"/>
      <w:ind w:firstLine="0"/>
      <w:jc w:val="left"/>
    </w:pPr>
  </w:style>
  <w:style w:type="paragraph" w:customStyle="1" w:styleId="Agenda">
    <w:name w:val="Agenda"/>
    <w:basedOn w:val="Normal"/>
    <w:pPr>
      <w:spacing w:line="240" w:lineRule="auto" w:after="80"/>
      <w:ind w:firstLine="0"/>
      <w:jc w:val="left"/>
    </w:pPr>
    <w:rPr>
      <w:sz w:val="23"/>
    </w:rPr>
  </w:style>
  <w:style w:type="paragraph" w:customStyle="1" w:styleId="Signature">
    <w:name w:val="Signature"/>
    <w:basedOn w:val="Normal"/>
    <w:pPr>
      <w:spacing w:line="240" w:lineRule="auto" w:after="60"/>
      <w:ind w:firstLine="0"/>
      <w:jc w:val="left"/>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Sosyal Bilgiler Dersi Sene Başı Zümre Toplantı Tutanağı</dc:title>
  <dc:subject/>
  <dc:creator/>
  <cp:keywords/>
  <dc:description/>
  <cp:lastModifiedBy/>
  <cp:revision>1</cp:revision>
  <dcterms:created xsi:type="dcterms:W3CDTF">2013-12-23T23:15:00Z</dcterms:created>
  <dcterms:modified xsi:type="dcterms:W3CDTF">2013-12-23T23:15:00Z</dcterms:modified>
  <cp:category/>
</cp:coreProperties>
</file>