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 Ortaokulu Müdürlüğü</w:t>
      </w:r>
    </w:p>
    <w:p>
      <w:pPr>
        <w:pStyle w:val="Title"/>
      </w:pPr>
      <w:r>
        <w:t>2026–2027 Eğitim Öğretim Yılı</w:t>
        <w:br/>
        <w:t>Türkçe Dersi Sene Başı Zümre Öğretmenler Kurulu</w:t>
        <w:br/>
        <w:t>Toplantı Tutanağı</w:t>
      </w:r>
    </w:p>
    <w:p>
      <w:pPr>
        <w:pStyle w:val="Meta"/>
      </w:pPr>
      <w:r>
        <w:t>Toplantı No: 1</w:t>
      </w:r>
    </w:p>
    <w:p>
      <w:pPr>
        <w:pStyle w:val="Meta"/>
      </w:pPr>
      <w:r>
        <w:t>Toplantı Tarihi: ......................</w:t>
      </w:r>
    </w:p>
    <w:p>
      <w:pPr>
        <w:pStyle w:val="Meta"/>
      </w:pPr>
      <w:r>
        <w:t>Toplantı Saati: ......................</w:t>
      </w:r>
    </w:p>
    <w:p>
      <w:pPr>
        <w:pStyle w:val="Meta"/>
      </w:pPr>
      <w:r>
        <w:t>Toplantı Yeri: ......................</w:t>
      </w:r>
    </w:p>
    <w:p>
      <w:pPr>
        <w:pStyle w:val="Meta"/>
      </w:pPr>
      <w:r>
        <w:t>Zümre Başkanı: ......................</w:t>
      </w:r>
    </w:p>
    <w:p>
      <w:pPr>
        <w:pStyle w:val="Meta"/>
      </w:pPr>
      <w:r>
        <w:t>Katılanlar: ......................</w:t>
      </w:r>
    </w:p>
    <w:p>
      <w:pPr>
        <w:pStyle w:val="Heading1"/>
      </w:pPr>
      <w:r>
        <w:t>Gündem Maddeleri</w:t>
      </w:r>
    </w:p>
    <w:p>
      <w:pPr>
        <w:pStyle w:val="Agenda"/>
        <w:numPr>
          <w:ilvl w:val="0"/>
          <w:numId w:val="90"/>
        </w:numPr>
      </w:pPr>
      <w:r>
        <w:t>Açılışın Yapılması ve Çalışma Düzeninin Belirlenmesi</w:t>
      </w:r>
    </w:p>
    <w:p>
      <w:pPr>
        <w:pStyle w:val="Agenda"/>
        <w:numPr>
          <w:ilvl w:val="0"/>
          <w:numId w:val="90"/>
        </w:numPr>
      </w:pPr>
      <w:r>
        <w:t>Mevzuatın ve Sınıf Düzeylerine Göre Programların İncelenmesi</w:t>
      </w:r>
    </w:p>
    <w:p>
      <w:pPr>
        <w:pStyle w:val="Agenda"/>
        <w:numPr>
          <w:ilvl w:val="0"/>
          <w:numId w:val="90"/>
        </w:numPr>
      </w:pPr>
      <w:r>
        <w:t>Türkiye Yüzyılı Maarif Modeli’nin Derslere Yansıtılmasının Görüşülmesi</w:t>
      </w:r>
    </w:p>
    <w:p>
      <w:pPr>
        <w:pStyle w:val="Agenda"/>
        <w:numPr>
          <w:ilvl w:val="0"/>
          <w:numId w:val="90"/>
        </w:numPr>
      </w:pPr>
      <w:r>
        <w:t>Yıllık Planların ve Ortak Materyallerin Hazırlanması</w:t>
      </w:r>
    </w:p>
    <w:p>
      <w:pPr>
        <w:pStyle w:val="Agenda"/>
        <w:numPr>
          <w:ilvl w:val="0"/>
          <w:numId w:val="90"/>
        </w:numPr>
      </w:pPr>
      <w:r>
        <w:t>Okuma ve Metin Çözümleme Çalışmalarının Planlanması</w:t>
      </w:r>
    </w:p>
    <w:p>
      <w:pPr>
        <w:pStyle w:val="Agenda"/>
        <w:numPr>
          <w:ilvl w:val="0"/>
          <w:numId w:val="90"/>
        </w:numPr>
      </w:pPr>
      <w:r>
        <w:t>Dinleme ve Konuşma Becerilerinin Geliştirilmesi</w:t>
      </w:r>
    </w:p>
    <w:p>
      <w:pPr>
        <w:pStyle w:val="Agenda"/>
        <w:numPr>
          <w:ilvl w:val="0"/>
          <w:numId w:val="90"/>
        </w:numPr>
      </w:pPr>
      <w:r>
        <w:t>Yazma Sürecinin ve Dil Kullanımının Görüşülmesi</w:t>
      </w:r>
    </w:p>
    <w:p>
      <w:pPr>
        <w:pStyle w:val="Agenda"/>
        <w:numPr>
          <w:ilvl w:val="0"/>
          <w:numId w:val="90"/>
        </w:numPr>
      </w:pPr>
      <w:r>
        <w:t>Kitap Seçimi ve Okuma Kültürünün Geliştirilmesi</w:t>
      </w:r>
    </w:p>
    <w:p>
      <w:pPr>
        <w:pStyle w:val="Agenda"/>
        <w:numPr>
          <w:ilvl w:val="0"/>
          <w:numId w:val="90"/>
        </w:numPr>
      </w:pPr>
      <w:r>
        <w:t>Yazılı ve Uygulamalı Sınavların Planlanması</w:t>
      </w:r>
    </w:p>
    <w:p>
      <w:pPr>
        <w:pStyle w:val="Agenda"/>
        <w:numPr>
          <w:ilvl w:val="0"/>
          <w:numId w:val="90"/>
        </w:numPr>
      </w:pPr>
      <w:r>
        <w:t>Ölçme Sonuçlarının ve Öğrenci Çalışmalarının Değerlendirilmesi</w:t>
      </w:r>
    </w:p>
    <w:p>
      <w:pPr>
        <w:pStyle w:val="Agenda"/>
        <w:numPr>
          <w:ilvl w:val="0"/>
          <w:numId w:val="90"/>
        </w:numPr>
      </w:pPr>
      <w:r>
        <w:t>Farklılaştırma ve Özel Eğitim İhtiyaçlarının Görüşülmesi</w:t>
      </w:r>
    </w:p>
    <w:p>
      <w:pPr>
        <w:pStyle w:val="Agenda"/>
        <w:numPr>
          <w:ilvl w:val="0"/>
          <w:numId w:val="90"/>
        </w:numPr>
      </w:pPr>
      <w:r>
        <w:t>Sekizinci Sınıflarda Öğretim ve Sınava Hazırlığın Görüşülmesi</w:t>
      </w:r>
    </w:p>
    <w:p>
      <w:pPr>
        <w:pStyle w:val="Agenda"/>
        <w:numPr>
          <w:ilvl w:val="0"/>
          <w:numId w:val="90"/>
        </w:numPr>
      </w:pPr>
      <w:r>
        <w:t>Kültürel Etkinliklerin ve Veli İş Birliğinin Planlanması</w:t>
      </w:r>
    </w:p>
    <w:p>
      <w:pPr>
        <w:pStyle w:val="Agenda"/>
        <w:numPr>
          <w:ilvl w:val="0"/>
          <w:numId w:val="90"/>
        </w:numPr>
      </w:pPr>
      <w:r>
        <w:t>Mesleki Paylaşımın ve Kararların Sonuçlandırılması</w:t>
      </w:r>
    </w:p>
    <w:p>
      <w:pPr>
        <w:pStyle w:val="Heading1"/>
        <w:pageBreakBefore/>
      </w:pPr>
      <w:r>
        <w:t>Gündem Maddelerinin Görüşülmesi</w:t>
      </w:r>
    </w:p>
    <w:p>
      <w:pPr>
        <w:pStyle w:val="Heading2"/>
      </w:pPr>
      <w:r>
        <w:t>1. Açılışın Yapılması ve Çalışma Düzeninin Belirlenmesi</w:t>
      </w:r>
    </w:p>
    <w:p>
      <w:r>
        <w:t>...................... Ortaokulu Türkçe zümre öğretmenler kurulu, ...................... tarihinde saat ......................’de ...................... başkanlığında toplandı. Yoklamada üyelerin hazır olduğu görüldü. Tutanak yazmanlığını ...................... üstlendi. Yeni eğitim öğretim yılının hazırlıkları için duyurulan gündem okunarak kabul edildi.</w:t>
      </w:r>
    </w:p>
    <w:p>
      <w:r>
        <w:t>Zümre başkanı, farklı sınıf düzeylerinde yürütülecek çalışmaların ortak bir anlayışla planlanmasını istedi. Öğretmenler, her şubenin ihtiyacı gözetilerek materyal ve öğrenci çalışması örneklerinin paylaşılmasını uygun buldu. Aynı sınıf düzeyini okutan öğretmenlerin tema öncesinde kısa hazırlık görüşmeleri yapması kararlaştırıldı.</w:t>
      </w:r>
    </w:p>
    <w:p>
      <w:pPr>
        <w:pStyle w:val="Heading2"/>
      </w:pPr>
      <w:r>
        <w:t>2. Mevzuatın ve Sınıf Düzeylerine Göre Programların İncelenmesi</w:t>
      </w:r>
    </w:p>
    <w:p>
      <w:r>
        <w:t>Millî Eğitim Bakanlığı Eğitim Kurulları ve Zümreleri Yönergesi, Okul Öncesi Eğitim ve İlköğretim Kurumları Yönetmeliği ile ölçme ve değerlendirmeye ilişkin düzenlemelerin Türkçe dersini ilgilendiren hükümleri görüşüldü. Bakanlığın eğitim öğretim yılına ilişkin açıklamalarının planlamada esas alınması kararlaştırıldı.</w:t>
      </w:r>
    </w:p>
    <w:p>
      <w:r>
        <w:t>2026–2027 yılında 5, 6 ve 7. sınıflarda Türkiye Yüzyılı Maarif Modeli Ortaokul Türkçe Dersi Öğretim Programı’nın uygulanması; 8. sınıfta ise kademeli geçiş gereği önceki Türkçe öğretim programının sürdürülmesi görüşüldü. Sekizinci sınıf planına yeni programın öğrenme çıktılarının doğrudan aktarılmaması kararlaştırıldı.</w:t>
      </w:r>
    </w:p>
    <w:p>
      <w:pPr>
        <w:pStyle w:val="Heading2"/>
      </w:pPr>
      <w:r>
        <w:t>3. Türkiye Yüzyılı Maarif Modeli’nin Derslere Yansıtılmasının Görüşülmesi</w:t>
      </w:r>
    </w:p>
    <w:p>
      <w:r>
        <w:t>Beşinci, altıncı ve yedinci sınıf planlarında öğrenme çıktıları ile süreç bileşenlerinin birlikte ele alınması görüşüldü. Ön değerlendirme ve köprü kurma çalışmalarının metne hazırlıkla ilişkilendirilmesi; öğrenme kanıtlarının yalnız tema sonunda değil dersin akışı içinde de toplanması kararlaştırıldı.</w:t>
      </w:r>
    </w:p>
    <w:p>
      <w:r>
        <w:t>Destekleme ve zenginleştirmeye planlarda yer verilmesi kabul edildi. Erdem-değer-eylem çerçevesinin metinlerdeki kişi davranışlarını tartışma, gerekçeli görüş bildirme ve ortak çalışmada sorumluluk üstlenme yoluyla işlenmesi; sosyal-duygusal öğrenme ve okuryazarlık becerilerinin etkinliklerle bütünleştirilmesi kararlaştırıldı.</w:t>
      </w:r>
    </w:p>
    <w:p>
      <w:pPr>
        <w:pStyle w:val="Heading2"/>
      </w:pPr>
      <w:r>
        <w:t>4. Yıllık Planların ve Ortak Materyallerin Hazırlanması</w:t>
      </w:r>
    </w:p>
    <w:p>
      <w:r>
        <w:t>Ders kitapları, haftalık ders çizelgesi ve okul çalışma takvimi birlikte incelendi. Yıllık planların sınıf düzeyine uygun program, tema sırası ve süreler esas alınarak hazırlanması; okul temelli planlama çalışmalarının ilgili programın ayırdığı zaman içinde düzenlenmesi kararlaştırıldı.</w:t>
      </w:r>
    </w:p>
    <w:p>
      <w:r>
        <w:t>Öğretmenlerin hazırladıkları metin sorularını, yazma yönergelerini ve değerlendirme araçlarını sınıf düzeylerine göre dosyalaması kabul edildi. Kaynakların yaşa uygunluk ve telif yönünden kontrol edilmesi, öğrencilere zorunlu ücretli kaynak aldırılmaması ve çevrim içi materyalin basılı seçeneğinin de düşünülmesi kararlaştırıldı.</w:t>
      </w:r>
    </w:p>
    <w:p>
      <w:pPr>
        <w:pStyle w:val="Heading2"/>
      </w:pPr>
      <w:r>
        <w:t>5. Okuma ve Metin Çözümleme Çalışmalarının Planlanması</w:t>
      </w:r>
    </w:p>
    <w:p>
      <w:r>
        <w:t>Türkçe öğretmeni ......................, öğrencilerin doğru cevabı bulmalarının yanında bu cevaba nasıl ulaştıklarını açıklamalarının önemini belirtti. Metnin ana düşüncesini belirleme, çıkarım yapma, olay ve görüşleri karşılaştırma çalışmalarında öğrencinin metinden dayanak göstermesi kararlaştırıldı.</w:t>
      </w:r>
    </w:p>
    <w:p>
      <w:r>
        <w:t>Şiir, hikâye ve bilgilendirici metinlerin özelliklerine uygun okuma yapılması, görsel ve metin arasındaki ilişkinin tartışılması kabul edildi. Akıcı okuma desteğine ihtiyaç duyan öğrencilerle kısa öğretmen modellemeleri yapılması; okumanın yalnız süre tutulan yarışmalara veya sürekli test çözmeye indirgenmemesi kararlaştırıldı.</w:t>
      </w:r>
    </w:p>
    <w:p>
      <w:pPr>
        <w:pStyle w:val="Heading2"/>
      </w:pPr>
      <w:r>
        <w:t>6. Dinleme ve Konuşma Becerilerinin Geliştirilmesi</w:t>
      </w:r>
    </w:p>
    <w:p>
      <w:r>
        <w:t>Dinleme öncesinde amaç belirleme, dinleme sırasında gerekli notları alma ve sonrasında bilgileri düzenleme çalışmalarının sınıf seviyesine göre yapılması görüşüldü. Öğrencilerin dinledikleri bir görüşü kendi sözleriyle açıklaması ve katılmadıkları noktaları saygılı biçimde gerekçelendirmesi kararlaştırıldı.</w:t>
      </w:r>
    </w:p>
    <w:p>
      <w:r>
        <w:t>Konuşma etkinliklerinde kitap tanıtımı, kısa hazırlıklı sunum ve karşılıklı görüşme çalışmalarına dönüşümlü yer verilmesi kabul edildi. Söz hakkının yalnız gönüllü ve akıcı konuşan öğrencilere bırakılmaması; hazırlık süresi verilerek bütün öğrencilerin katılımının sağlanması kararlaştırıldı.</w:t>
      </w:r>
    </w:p>
    <w:p>
      <w:pPr>
        <w:pStyle w:val="Heading2"/>
      </w:pPr>
      <w:r>
        <w:t>7. Yazma Sürecinin ve Dil Kullanımının Görüşülmesi</w:t>
      </w:r>
    </w:p>
    <w:p>
      <w:r>
        <w:t>Yazma çalışmalarında konu ve amaç belirleme, taslak oluşturma, gözden geçirme ve son metni düzenleme aşamalarına zaman ayrılması görüşüldü. Öğrencinin ilk taslağı ile düzeltilmiş metnini birlikte saklaması ve aldığı geri bildirimi nasıl kullandığını açıklaması kararlaştırıldı.</w:t>
      </w:r>
    </w:p>
    <w:p>
      <w:r>
        <w:t>Söz varlığının metnin bağlamından hareketle geliştirilmesi; öğrenilen kelimelerin konuşma ve yazmada kullanılması kabul edildi. Dil bilgisi, yazım ve noktalama konularının ilgili sınıf programındaki kapsamla sınırlı tutularak anlam ve anlatım işlevi üzerinden ele alınması kararlaştırıldı.</w:t>
      </w:r>
    </w:p>
    <w:p>
      <w:pPr>
        <w:pStyle w:val="Heading2"/>
      </w:pPr>
      <w:r>
        <w:t>8. Kitap Seçimi ve Okuma Kültürünün Geliştirilmesi</w:t>
      </w:r>
    </w:p>
    <w:p>
      <w:r>
        <w:t>Okul kitaplığının Türkçe dersindeki kullanımı görüşüldü. Kitapların sınıf düzeyi, dil niteliği, öğrenci ilgisi ve erişilebilirlik yönünden öğretmenlerce incelenmesi; yürürlükteki programın eser okuma ve eleştirel değerlendirme çalışmalarının yıllık plana alınması kararlaştırıldı.</w:t>
      </w:r>
    </w:p>
    <w:p>
      <w:r>
        <w:t>Kitap sohbetlerinde öğrencilerin seçtikleri bir bölümü gerekçeleriyle tanıtması, kısa okuma notları paylaşması ve birbirlerine soru sorması kabul edildi. Her eser için uzun özet yazdırılması yerine farklı anlatım yollarından yararlanılması; satın alma imkânı olmayan öğrencilerin okul kitaplığından desteklenmesi kararlaştırıldı.</w:t>
      </w:r>
    </w:p>
    <w:p>
      <w:pPr>
        <w:pStyle w:val="Heading2"/>
      </w:pPr>
      <w:r>
        <w:t>9. Yazılı ve Uygulamalı Sınavların Planlanması</w:t>
      </w:r>
    </w:p>
    <w:p>
      <w:r>
        <w:t>Türkçe sınavlarının yazılı ve uygulamalı bölümlerinin birlikte planlanması görüşüldü. Sınav puanında yazılı bölümün yüzde 50, dinleme bölümünün yüzde 25 ve konuşma bölümünün yüzde 25 ağırlıkla hesaplanması kararlaştırıldı. Dinleme ve konuşmanın ayrı ayrı puanlanması üzerinde duruldu.</w:t>
      </w:r>
    </w:p>
    <w:p>
      <w:r>
        <w:t>Okulca hazırlanacak yazılılarda açık uçlu veya açık uçlu ve kısa cevaplı sorular kullanılması; konu soru dağılım tablosuna uygun kapsam ile ortak puanlama anahtarının sınavdan önce hazırlanması kabul edildi. Ülke, il ve ilçe ortak sınavları için ilgili yılın resmî takvim ve kılavuzlarının izlenmesi kararlaştırıldı.</w:t>
      </w:r>
    </w:p>
    <w:p>
      <w:pPr>
        <w:pStyle w:val="Heading2"/>
      </w:pPr>
      <w:r>
        <w:t>10. Ölçme Sonuçlarının ve Öğrenci Çalışmalarının Değerlendirilmesi</w:t>
      </w:r>
    </w:p>
    <w:p>
      <w:r>
        <w:t>Konuşma ve yazma değerlendirmesinde kullanılacak ölçütlerin öğrencilere çalışma öncesinde açıklanması görüşüldü. Öğretmenlerin kimlik bilgileri çıkarılmış çalışma örneklerini birlikte inceleyerek puanlama farklılıklarını azaltması ve öğrenciye geliştirebileceği noktayı gösteren kısa geri bildirim vermesi kararlaştırıldı.</w:t>
      </w:r>
    </w:p>
    <w:p>
      <w:r>
        <w:t>Sınav sonrasında soruların hangi becerilerde güçlük oluşturduğunun incelenmesi, ihtiyaca göre yeniden öğretim yapılması ve benzer bir görevle gelişimin kontrol edilmesi kabul edildi. Sonuçların şubeleri veya öğretmenleri sıralamak için kullanılmaması; e-Okul kayıtlarının süresinde tamamlanması kararlaştırıldı.</w:t>
      </w:r>
    </w:p>
    <w:p>
      <w:pPr>
        <w:pStyle w:val="Heading2"/>
      </w:pPr>
      <w:r>
        <w:t>11. Farklılaştırma ve Özel Eğitim İhtiyaçlarının Görüşülmesi</w:t>
      </w:r>
    </w:p>
    <w:p>
      <w:r>
        <w:t>Okuma, anlama ve yazma güçlüklerinin aynı nedenlerden kaynaklanmayabileceği görüşüldü. Kısa metin bölümleri, aşamalı yönergeler, sözcük desteği ve öğretmenle birlikte çalışma seçeneklerinin öğrencinin ihtiyacına göre kullanılması kararlaştırıldı. İleri düzeydeki öğrenciler için karşılaştırmalı okuma ve özgün metin oluşturma görevleri planlandı.</w:t>
      </w:r>
    </w:p>
    <w:p>
      <w:r>
        <w:t>BEP kapsamındaki öğrencilerin hedef ve değerlendirmelerinin ilgili raporlar ve BEP geliştirme birimi kararları doğrultusunda düzenlenmesi kabul edildi. Öğrencilerin özel durumlarının sınıf içinde açıklanmaması, gerekli bilgi paylaşımının ilgili öğretmen ve rehberlik hizmetleriyle sınırlı tutulması kararlaştırıldı.</w:t>
      </w:r>
    </w:p>
    <w:p>
      <w:pPr>
        <w:pStyle w:val="Heading2"/>
      </w:pPr>
      <w:r>
        <w:t>12. Sekizinci Sınıflarda Öğretim ve Sınava Hazırlığın Görüşülmesi</w:t>
      </w:r>
    </w:p>
    <w:p>
      <w:r>
        <w:t>Sekizinci sınıfta okuduğunu anlama, çıkarım ve akıl yürütme çalışmalarının ders programıyla birlikte yürütülmesi görüşüldü. Bakanlığın yayımladığı örneklerden uygun olanlarının kullanılması; bir sorunun çözümünde metindeki bilgilerin nasıl ilişkilendirildiğinin açıklatılması kararlaştırıldı.</w:t>
      </w:r>
    </w:p>
    <w:p>
      <w:r>
        <w:t>Sınava hazırlık gerekçesiyle dinleme, konuşma ve yazma çalışmalarının kaldırılmaması kabul edildi. Soru yanlışlarının yalnız sayı olarak kaydedilmemesi, yanlışın nedenine göre destek verilmesi ve sınav kaygısı yaşayan öğrenciler için rehberlik hizmetleriyle iş birliği yapılması kararlaştırıldı.</w:t>
      </w:r>
    </w:p>
    <w:p>
      <w:pPr>
        <w:pStyle w:val="Heading2"/>
      </w:pPr>
      <w:r>
        <w:t>13. Kültürel Etkinliklerin ve Veli İş Birliğinin Planlanması</w:t>
      </w:r>
    </w:p>
    <w:p>
      <w:r>
        <w:t>Türkçenin doğru, güzel ve etkili kullanımını destekleyen şiir dinletisi, kitap söyleşisi ve okul panosu çalışmalarının okul takvimine uygun yürütülmesi görüşüldü. Millî bayramlar, Atatürk ve kültürel miras konularının ilgili metin ve etkinliklerle ilişkilendirilmesi; diğer branşlarla görev paylaşımı yapılması kararlaştırıldı.</w:t>
      </w:r>
    </w:p>
    <w:p>
      <w:r>
        <w:t>Dijital metinlerde kaynak, yazar ve güvenilirlik sorgulamasına yer verilmesi kabul edildi. Öğrenci ürünlerinin izinsiz yayımlanmaması, velilerin gelişim hakkında bireysel bilgilendirilmesi ve evde okuma için sürdürülebilir bir ortam oluşturmalarının desteklenmesi kararlaştırıldı.</w:t>
      </w:r>
    </w:p>
    <w:p>
      <w:pPr>
        <w:pStyle w:val="Heading2"/>
      </w:pPr>
      <w:r>
        <w:t>14. Mesleki Paylaşımın ve Kararların Sonuçlandırılması</w:t>
      </w:r>
    </w:p>
    <w:p>
      <w:pPr>
        <w:keepNext/>
        <w:keepLines/>
      </w:pPr>
      <w:r>
        <w:t>Zümre üyeleri, öğretim materyallerinin paylaşılması ve karşılaşılan sorunların tema sonlarında birlikte ele alınması konusunda görüş birliğine vardı. Yıl içinde en az bir ders ziyaretinin bütün üyelerin mutabakatıyla önceden planlanması, ziyaretin öğrenci katılımı ve geri bildirim uygulamalarına odaklanması kararlaştırıldı.</w:t>
      </w:r>
    </w:p>
    <w:p>
      <w:pPr>
        <w:keepNext/>
        <w:keepLines/>
      </w:pPr>
      <w:r>
        <w:t>Gündemde görüşülen kararların tamamı oybirliğiyle kabul edildi. Okul müdürünün onayından sonra uygulanmasına karar verilerek toplantı saat ......................’de kapatıldı. Tutanak birlikte okunarak imza altına alındı.</w:t>
      </w:r>
    </w:p>
    <w:p>
      <w:pPr>
        <w:pStyle w:val="Heading1"/>
      </w:pPr>
      <w:r>
        <w:t>İmzalar</w:t>
      </w:r>
    </w:p>
    <w:p>
      <w:pPr>
        <w:pStyle w:val="Signature"/>
        <w:keepNext/>
        <w:tabs>
          <w:tab w:pos="2324" w:val="center"/>
          <w:tab w:pos="6973" w:val="center"/>
        </w:tabs>
        <w:spacing w:before="320"/>
      </w:pPr>
      <w:r>
        <w:tab/>
        <w:t>......................</w:t>
        <w:tab/>
        <w:t>......................</w:t>
      </w:r>
    </w:p>
    <w:p>
      <w:pPr>
        <w:pStyle w:val="Signature"/>
        <w:keepNext/>
        <w:tabs>
          <w:tab w:pos="2324" w:val="center"/>
          <w:tab w:pos="6973" w:val="center"/>
        </w:tabs>
      </w:pPr>
      <w:r>
        <w:tab/>
        <w:t>Zümre Başkanı</w:t>
        <w:tab/>
        <w:t>Zümre Öğretmeni</w:t>
      </w:r>
    </w:p>
    <w:p>
      <w:pPr>
        <w:pStyle w:val="Signature"/>
        <w:keepNext/>
        <w:tabs>
          <w:tab w:pos="2324" w:val="center"/>
          <w:tab w:pos="6973" w:val="center"/>
        </w:tabs>
      </w:pPr>
      <w:r>
        <w:tab/>
        <w:t>İmza</w:t>
        <w:tab/>
        <w:t>İmza</w:t>
      </w:r>
    </w:p>
    <w:p>
      <w:pPr>
        <w:pStyle w:val="Signature"/>
        <w:keepNext/>
        <w:tabs>
          <w:tab w:pos="2324" w:val="center"/>
          <w:tab w:pos="6973" w:val="center"/>
        </w:tabs>
        <w:spacing w:before="320"/>
      </w:pPr>
      <w:r>
        <w:tab/>
        <w:t>......................</w:t>
        <w:tab/>
        <w:t>......................</w:t>
      </w:r>
    </w:p>
    <w:p>
      <w:pPr>
        <w:pStyle w:val="Signature"/>
        <w:keepNext/>
        <w:tabs>
          <w:tab w:pos="2324" w:val="center"/>
          <w:tab w:pos="6973" w:val="center"/>
        </w:tabs>
      </w:pPr>
      <w:r>
        <w:tab/>
        <w:t>Zümre Öğretmeni</w:t>
        <w:tab/>
        <w:t>Zümre Öğretmeni</w:t>
      </w:r>
    </w:p>
    <w:p>
      <w:pPr>
        <w:pStyle w:val="Signature"/>
        <w:keepNext/>
        <w:tabs>
          <w:tab w:pos="2324" w:val="center"/>
          <w:tab w:pos="6973" w:val="center"/>
        </w:tabs>
      </w:pPr>
      <w:r>
        <w:tab/>
        <w:t>İmza</w:t>
        <w:tab/>
        <w:t>İmza</w:t>
      </w:r>
    </w:p>
    <w:p>
      <w:pPr>
        <w:pStyle w:val="Signature"/>
        <w:keepNext/>
        <w:tabs>
          <w:tab w:pos="2324" w:val="center"/>
          <w:tab w:pos="6973" w:val="center"/>
        </w:tabs>
        <w:spacing w:before="320"/>
      </w:pPr>
      <w:r>
        <w:tab/>
        <w:t>......................</w:t>
        <w:tab/>
        <w:t>......................</w:t>
      </w:r>
    </w:p>
    <w:p>
      <w:pPr>
        <w:pStyle w:val="Signature"/>
        <w:keepNext/>
        <w:tabs>
          <w:tab w:pos="2324" w:val="center"/>
          <w:tab w:pos="6973" w:val="center"/>
        </w:tabs>
      </w:pPr>
      <w:r>
        <w:tab/>
        <w:t>Müdür Yardımcısı</w:t>
        <w:tab/>
        <w:t>Müdür Yardımcısı</w:t>
      </w:r>
    </w:p>
    <w:p>
      <w:pPr>
        <w:pStyle w:val="Signature"/>
        <w:keepNext/>
        <w:tabs>
          <w:tab w:pos="2324" w:val="center"/>
          <w:tab w:pos="6973" w:val="center"/>
        </w:tabs>
      </w:pPr>
      <w:r>
        <w:tab/>
        <w:t>İmza</w:t>
        <w:tab/>
        <w:t>İmza</w:t>
      </w:r>
    </w:p>
    <w:p>
      <w:pPr>
        <w:pStyle w:val="Signature"/>
        <w:keepNext/>
        <w:spacing w:before="360"/>
        <w:jc w:val="center"/>
      </w:pPr>
      <w:r>
        <w:t>Uygundur</w:t>
      </w:r>
    </w:p>
    <w:p>
      <w:pPr>
        <w:pStyle w:val="Signature"/>
        <w:keepNext/>
        <w:jc w:val="center"/>
      </w:pPr>
      <w:r>
        <w:t>......................</w:t>
      </w:r>
    </w:p>
    <w:p>
      <w:pPr>
        <w:pStyle w:val="Signature"/>
        <w:keepNext/>
        <w:jc w:val="center"/>
      </w:pPr>
      <w:r>
        <w:t>......................</w:t>
      </w:r>
    </w:p>
    <w:p>
      <w:pPr>
        <w:pStyle w:val="Signature"/>
        <w:keepNext/>
        <w:jc w:val="center"/>
      </w:pPr>
      <w:r>
        <w:t>Okul Müdürü</w:t>
      </w:r>
    </w:p>
    <w:p>
      <w:pPr>
        <w:pStyle w:val="Signature"/>
        <w:keepNext w:val="0"/>
        <w:jc w:val="center"/>
      </w:pPr>
      <w:r>
        <w:t>İmza</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0">
    <w:lvl w:ilvl="0">
      <w:start w:val="1"/>
      <w:numFmt w:val="decimal"/>
      <w:lvlText w:val="%1."/>
      <w:lvlJc w:val="left"/>
      <w:pPr>
        <w:ind w:left="360" w:hanging="360"/>
      </w:pPr>
    </w:lvl>
  </w:abstractNum>
  <w:num w:numId="90">
    <w:abstractNumId w:val="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20" w:line="252" w:lineRule="auto"/>
      <w:ind w:firstLine="567"/>
      <w:jc w:val="both"/>
    </w:pPr>
    <w:rPr>
      <w:rFonts w:ascii="Times New Roman" w:hAnsi="Times New Roman" w:eastAsia="Times New Roman" w:cs="Times New Roman"/>
      <w:color w:val="000000"/>
      <w:sz w:val="24"/>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120" w:line="252" w:lineRule="auto"/>
      <w:ind w:firstLine="0"/>
      <w:jc w:val="left"/>
      <w:outlineLvl w:val="0"/>
    </w:pPr>
    <w:rPr>
      <w:rFonts w:cstheme="majorBidi" w:ascii="Times New Roman" w:hAnsi="Times New Roman" w:eastAsia="Times New Roman" w:cs="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widowControl/>
      <w:spacing w:before="200" w:after="120" w:line="252" w:lineRule="auto"/>
      <w:ind w:firstLine="0"/>
      <w:jc w:val="left"/>
      <w:outlineLvl w:val="1"/>
    </w:pPr>
    <w:rPr>
      <w:rFonts w:cstheme="majorBidi" w:ascii="Times New Roman" w:hAnsi="Times New Roman" w:eastAsia="Times New Roman" w:cs="Times New Roman"/>
      <w:b/>
      <w:bCs/>
      <w:color w:val="000000"/>
      <w:sz w:val="24"/>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20" w:line="252" w:lineRule="auto" w:before="0"/>
      <w:ind w:firstLine="0"/>
      <w:contextualSpacing/>
      <w:jc w:val="center"/>
    </w:pPr>
    <w:rPr>
      <w:rFonts w:cstheme="majorBidi" w:ascii="Times New Roman" w:hAnsi="Times New Roman" w:eastAsia="Times New Roman" w:cs="Times New Roman"/>
      <w:b/>
      <w:color w:val="000000"/>
      <w:spacing w:val="5"/>
      <w:kern w:val="28"/>
      <w:sz w:val="26"/>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eta">
    <w:name w:val="Meta"/>
    <w:basedOn w:val="Normal"/>
    <w:pPr>
      <w:spacing w:line="240" w:lineRule="auto" w:after="60"/>
      <w:ind w:firstLine="0"/>
      <w:jc w:val="left"/>
    </w:pPr>
  </w:style>
  <w:style w:type="paragraph" w:customStyle="1" w:styleId="Agenda">
    <w:name w:val="Agenda"/>
    <w:basedOn w:val="Normal"/>
    <w:pPr>
      <w:spacing w:line="240" w:lineRule="auto" w:after="80"/>
      <w:ind w:firstLine="0"/>
      <w:jc w:val="left"/>
    </w:pPr>
    <w:rPr>
      <w:sz w:val="22"/>
    </w:rPr>
  </w:style>
  <w:style w:type="paragraph" w:customStyle="1" w:styleId="Signature">
    <w:name w:val="Signature"/>
    <w:basedOn w:val="Normal"/>
    <w:pPr>
      <w:spacing w:line="240" w:lineRule="auto" w:after="60"/>
      <w:ind w:firstLine="0"/>
      <w:jc w:val="left"/>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Türkçe Dersi Sene Başı Zümre Toplantı Tutanağı</dc:title>
  <dc:subject/>
  <dc:creator/>
  <cp:keywords/>
  <dc:description/>
  <cp:lastModifiedBy/>
  <cp:revision>1</cp:revision>
  <dcterms:created xsi:type="dcterms:W3CDTF">2013-12-23T23:15:00Z</dcterms:created>
  <dcterms:modified xsi:type="dcterms:W3CDTF">2013-12-23T23:15:00Z</dcterms:modified>
  <cp:category/>
</cp:coreProperties>
</file>