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0" w:after="60" w:line="259" w:lineRule="auto"/>
        <w:jc w:val="center"/>
      </w:pPr>
      <w:r>
        <w:rPr>
          <w:rFonts w:ascii="Times New Roman" w:hAnsi="Times New Roman" w:eastAsia="Times New Roman"/>
          <w:b/>
          <w:i w:val="0"/>
          <w:color w:val="0B439C"/>
          <w:sz w:val="28"/>
        </w:rPr>
        <w:t>2026-2027 EĞİTİM ÖĞRETİM YILI</w:t>
      </w:r>
    </w:p>
    <w:p>
      <w:pPr>
        <w:keepNext/>
        <w:spacing w:before="0" w:after="60" w:line="259" w:lineRule="auto"/>
        <w:jc w:val="center"/>
      </w:pPr>
      <w:r>
        <w:rPr>
          <w:rFonts w:ascii="Times New Roman" w:hAnsi="Times New Roman" w:eastAsia="Times New Roman"/>
          <w:b/>
          <w:i w:val="0"/>
          <w:color w:val="0B439C"/>
          <w:sz w:val="28"/>
        </w:rPr>
        <w:t>OKUL ADI</w:t>
      </w:r>
    </w:p>
    <w:p>
      <w:pPr>
        <w:keepNext/>
        <w:spacing w:before="0" w:after="60" w:line="259" w:lineRule="auto"/>
        <w:jc w:val="center"/>
      </w:pPr>
      <w:r>
        <w:rPr>
          <w:rFonts w:ascii="Times New Roman" w:hAnsi="Times New Roman" w:eastAsia="Times New Roman"/>
          <w:b/>
          <w:i w:val="0"/>
          <w:color w:val="0B439C"/>
          <w:sz w:val="28"/>
        </w:rPr>
        <w:t>BEYAZAY KULÜBÜ</w:t>
      </w:r>
    </w:p>
    <w:p>
      <w:pPr>
        <w:keepNext/>
        <w:spacing w:before="0" w:after="0" w:line="259" w:lineRule="auto"/>
        <w:jc w:val="center"/>
      </w:pPr>
      <w:r>
        <w:rPr>
          <w:rFonts w:ascii="Times New Roman" w:hAnsi="Times New Roman" w:eastAsia="Times New Roman"/>
          <w:b/>
          <w:i w:val="0"/>
          <w:color w:val="0B439C"/>
          <w:sz w:val="28"/>
        </w:rPr>
        <w:t>YILLIK ÇALIŞMA PLANI</w:t>
      </w:r>
    </w:p>
    <w:p>
      <w:pPr>
        <w:keepNext/>
        <w:spacing w:before="0" w:after="160" w:line="259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</w:r>
    </w:p>
    <w:p>
      <w:pPr>
        <w:keepNext w:val="0"/>
        <w:spacing w:before="0" w:after="160" w:line="259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Amaç: Öğrencilerde engelli hakları, erişilebilirlik, kapsayıcı iletişim, bağımsız yaşam ve eşit katılım konusunda kalıcı farkındalık ve sorumluluk geliştirmek.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084"/>
        <w:gridCol w:w="3084"/>
        <w:gridCol w:w="3084"/>
        <w:gridCol w:w="3084"/>
        <w:gridCol w:w="3084"/>
      </w:tblGrid>
      <w:tr>
        <w:trPr>
          <w:tblHeader w:val="true"/>
        </w:trPr>
        <w:tc>
          <w:tcPr>
            <w:tcW w:type="dxa" w:w="1247"/>
            <w:shd w:fill="DDEBF7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Ay</w:t>
            </w:r>
          </w:p>
        </w:tc>
        <w:tc>
          <w:tcPr>
            <w:tcW w:type="dxa" w:w="2948"/>
            <w:shd w:fill="DDEBF7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Konu ve Amaç</w:t>
            </w:r>
          </w:p>
        </w:tc>
        <w:tc>
          <w:tcPr>
            <w:tcW w:type="dxa" w:w="5273"/>
            <w:shd w:fill="DDEBF7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Yapılacak Çalışmalar</w:t>
            </w:r>
          </w:p>
        </w:tc>
        <w:tc>
          <w:tcPr>
            <w:tcW w:type="dxa" w:w="2268"/>
            <w:shd w:fill="DDEBF7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Sorumlular ve İş Birliği</w:t>
            </w:r>
          </w:p>
        </w:tc>
        <w:tc>
          <w:tcPr>
            <w:tcW w:type="dxa" w:w="3231"/>
            <w:shd w:fill="DDEBF7"/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hAnsi="Times New Roman"/>
                <w:b/>
                <w:sz w:val="19"/>
              </w:rPr>
              <w:t>Beklenen Kazanımlar</w:t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EYLÜL</w:t>
            </w:r>
          </w:p>
        </w:tc>
        <w:tc>
          <w:tcPr>
            <w:tcW w:type="dxa" w:w="294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Kulübün kuruluşu ve hak temelli engellilik yaklaşımı</w:t>
              <w:br/>
              <w:br/>
              <w:t>Öğrencilerin Beyazay Kulübünün amaçlarını tanımalarını, engelli bireyleri yardımın nesnesi olarak değil eşit haklara sahip bireyler olarak görmelerini ve kulüp sorumluluklarını paylaşmalarını sağlamak.</w:t>
            </w:r>
          </w:p>
        </w:tc>
        <w:tc>
          <w:tcPr>
            <w:tcW w:type="dxa" w:w="5273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Kulübün amaçları, çalışma ilkeleri ve 2026-2027 eğitim öğretim yılı faaliyet takvimi tanıtılacaktır.</w:t>
              <w:br/>
              <w:t>• Kulüp başkanı, başkan yardımcısı, yazman ve çalışma ekipleri demokratik yöntemle belirlenecektir.</w:t>
              <w:br/>
              <w:t>• Hak temelli engellilik yaklaşımı, fırsat eşitliği, bireysel özerklik, bağımsız yaşam ve topluma tam katılım kavramları örneklerle ele alınacaktır.</w:t>
              <w:br/>
              <w:t>• Öğrencilerin okulda gözlemledikleri fiziksel, iletişimsel ve tutumsal engelleri belirlemek amacıyla başlangıç değerlendirmesi yapılacaktır.</w:t>
            </w:r>
          </w:p>
        </w:tc>
        <w:tc>
          <w:tcPr>
            <w:tcW w:type="dxa" w:w="226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Öğrencilerin doğru kavramları kullanması, farklı gereksinimlere saygılı iletişim kurması ve kulüp çalışmalarına sorumlulukla katılması beklenecektir.</w:t>
            </w:r>
          </w:p>
        </w:tc>
      </w:tr>
      <w:tr>
        <w:trPr>
          <w:cantSplit/>
        </w:trPr>
        <w:tc>
          <w:tcPr>
            <w:tcW w:type="dxa" w:w="1247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EKİM</w:t>
            </w:r>
          </w:p>
        </w:tc>
        <w:tc>
          <w:tcPr>
            <w:tcW w:type="dxa" w:w="294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Doğru iletişim ve kapsayıcı dil</w:t>
              <w:br/>
              <w:br/>
              <w:t>Engelli bireylerle iletişimde önyargı, acıma ve aşırı korumacı tutumlardan kaçınarak kişiye, tercihine ve bağımsızlığına saygı gösteren bir iletişim kültürü geliştirmek.</w:t>
            </w:r>
          </w:p>
        </w:tc>
        <w:tc>
          <w:tcPr>
            <w:tcW w:type="dxa" w:w="5273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Günlük dilde kullanılan ayrımcı, küçümseyici veya etiketleyici ifadeler incelenecek; kapsayıcı karşılıkları belirlenecektir.</w:t>
              <w:br/>
              <w:t>• Yardım etmeden önce sorma, doğrudan kişiyle konuşma, refakatçiye yönelmeme ve kişisel alana saygı ilkeleri örnek olaylarla çalışılacaktır.</w:t>
              <w:br/>
              <w:t>• Görme, işitme, bedensel, zihinsel ve süreğen yetersizliği bulunan bireylerle iletişimde dikkat edilecek noktalar araştırılacaktır.</w:t>
              <w:br/>
              <w:t>• Kapsayıcı dil ve doğru iletişim konusunda sınıf içi bilgilendirme kartları hazırlanacaktır.</w:t>
            </w:r>
          </w:p>
        </w:tc>
        <w:tc>
          <w:tcPr>
            <w:tcW w:type="dxa" w:w="226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Öğrencilerin farklılıkları olağan kabul etmesi, iletişimde kişinin tercihlerini gözetmesi ve ayrımcı dile karşı yapıcı biçimde uyarıda bulunabilmesi beklenecektir.</w:t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KASIM</w:t>
            </w:r>
          </w:p>
        </w:tc>
        <w:tc>
          <w:tcPr>
            <w:tcW w:type="dxa" w:w="294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Okulda erişilebilirlik gözlemi</w:t>
              <w:br/>
              <w:br/>
              <w:t>Erişilebilirliğin yalnız rampa ile sınırlı olmadığını; yapı, yönlendirme, bilgi, iletişim, dijital içerik ve etkinliklerin herkesçe kullanılabilir olmasını kapsadığını fark ettirmek.</w:t>
            </w:r>
          </w:p>
        </w:tc>
        <w:tc>
          <w:tcPr>
            <w:tcW w:type="dxa" w:w="5273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Okul girişleri, koridorlar, merdivenler, tuvaletler, sınıflar, kütüphane ve ortak kullanım alanları gözlem formuyla incelenecektir.</w:t>
              <w:br/>
              <w:t>• Yönlendirme levhaları, aydınlatma, renk karşıtlığı, geçiş genişliği, oturma düzeni ve acil durum erişimi bakımından ihtiyaçlar kaydedilecektir.</w:t>
              <w:br/>
              <w:t>• Duyuru, afiş ve dijital içeriklerin okunabilirliği; yazı boyutu, sade dil, renk kullanımı ve görsel açıklama bakımından değerlendirilecektir.</w:t>
              <w:br/>
              <w:t>• Tespitler okul yönetimine sunulmak üzere öncelik ve uygulanabilirlik sırasına göre raporlanacaktır.</w:t>
            </w:r>
          </w:p>
        </w:tc>
        <w:tc>
          <w:tcPr>
            <w:tcW w:type="dxa" w:w="226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Öğrencilerin erişilebilirlik engellerini güvenli ve saygılı biçimde belirlemesi, çözüm önerilerini somutlaştırması ve okul çevresine karşı sorumluluk geliştirmesi beklenecektir.</w:t>
            </w:r>
          </w:p>
        </w:tc>
      </w:tr>
      <w:tr>
        <w:trPr>
          <w:cantSplit/>
        </w:trPr>
        <w:tc>
          <w:tcPr>
            <w:tcW w:type="dxa" w:w="1247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ARALIK</w:t>
            </w:r>
          </w:p>
        </w:tc>
        <w:tc>
          <w:tcPr>
            <w:tcW w:type="dxa" w:w="294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3 Aralık Dünya Engelliler Günü farkındalık çalışması</w:t>
              <w:br/>
              <w:br/>
              <w:t>Engelli bireylerin insan hakları, eşitlik, erişilebilirlik ve karar süreçlerine katılımı konusunda okul genelinde doğru ve hak temelli farkındalık oluşturmak.</w:t>
            </w:r>
          </w:p>
        </w:tc>
        <w:tc>
          <w:tcPr>
            <w:tcW w:type="dxa" w:w="5273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3 Aralık Dünya Engelliler Günü için engelli bireylerin başarılarını ve toplumsal katkılarını görünür kılan bir pano hazırlanacaktır.</w:t>
              <w:br/>
              <w:t>• Ayrımcılık, makul düzenleme, erişilebilirlik ve fırsat eşitliği kavramlarını açıklayan kısa sınıf sunumları yapılacaktır.</w:t>
              <w:br/>
              <w:t>• Öğrencilerin önyargıları sorgulamalarını sağlayacak örnek olay ve düşünce kartları kullanılacaktır.</w:t>
              <w:br/>
              <w:t>• Faaliyetlerde engellilik taklidi yerine gerçek yaşam deneyimlerini saygılı biçimde aktaran güvenilir kaynaklardan yararlanılacaktır.</w:t>
            </w:r>
          </w:p>
        </w:tc>
        <w:tc>
          <w:tcPr>
            <w:tcW w:type="dxa" w:w="226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Okul topluluğunun engelliliği kişisel bir eksiklik olarak değil çevresel ve tutumsal engellerle ilişkili bir hak alanı olarak değerlendirmesi beklenecektir.</w:t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OCAK</w:t>
            </w:r>
          </w:p>
        </w:tc>
        <w:tc>
          <w:tcPr>
            <w:tcW w:type="dxa" w:w="294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Birinci dönem değerlendirmesi ve erişilebilir bilgi</w:t>
              <w:br/>
              <w:br/>
              <w:t>İlk dönem çalışmalarını değerlendirmek ve basılı ya da dijital bilginin farklı gereksinimleri bulunan kişiler tarafından anlaşılabilir biçimde sunulmasına yönelik temel ilkeleri uygulamak.</w:t>
            </w:r>
          </w:p>
        </w:tc>
        <w:tc>
          <w:tcPr>
            <w:tcW w:type="dxa" w:w="5273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İlk dönem etkinlikleri katılım, kazanım, erişilebilirlik ve okul yaşamına katkı bakımından değerlendirilecektir.</w:t>
              <w:br/>
              <w:t>• Sade dil, yeterli yazı büyüklüğü, güçlü renk karşıtlığı, anlamlı başlık ve görsel açıklama ilkeleri örnek materyaller üzerinde incelenecektir.</w:t>
              <w:br/>
              <w:t>• Önceki aylarda hazırlanan bir duyuru veya afiş erişilebilirlik ilkelerine göre yeniden düzenlenecektir.</w:t>
              <w:br/>
              <w:t>• İkinci dönem için öğrenci görevleri ve ihtiyaç duyulan iş birlikleri güncellenecektir.</w:t>
            </w:r>
          </w:p>
        </w:tc>
        <w:tc>
          <w:tcPr>
            <w:tcW w:type="dxa" w:w="226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Öğrencilerin bilgiyi yalnız üretmekle yetinmemesi, hedef kitlenin farklı ihtiyaçlarını düşünerek açık ve erişilebilir biçimde sunması beklenecektir.</w:t>
            </w:r>
          </w:p>
        </w:tc>
      </w:tr>
      <w:tr>
        <w:trPr>
          <w:cantSplit/>
        </w:trPr>
        <w:tc>
          <w:tcPr>
            <w:tcW w:type="dxa" w:w="1247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ŞUBAT</w:t>
            </w:r>
          </w:p>
        </w:tc>
        <w:tc>
          <w:tcPr>
            <w:tcW w:type="dxa" w:w="294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Eğitimde fırsat eşitliği ve akran desteği</w:t>
              <w:br/>
              <w:br/>
              <w:t>Her öğrencinin okul etkinliklerine eşit, güvenli ve bağımsız katılım hakkını kavratmak; dışlayıcı olmayan, gönüllü ve sınırları belirlenmiş akran desteği geliştirmek.</w:t>
            </w:r>
          </w:p>
        </w:tc>
        <w:tc>
          <w:tcPr>
            <w:tcW w:type="dxa" w:w="5273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Eğitim ortamında karşılaşılabilecek fiziksel, iletişimsel, dijital ve tutumsal engeller örnek olaylarla incelenecektir.</w:t>
              <w:br/>
              <w:t>• Akran desteğinin kişinin yerine karar vermek değil, talep edildiğinde katılımı kolaylaştırmak olduğu açıklanacaktır.</w:t>
              <w:br/>
              <w:t>• Grup çalışması, gezi, tören ve yarışmalarda kapsayıcı görev dağılımı için kontrol listesi hazırlanacaktır.</w:t>
              <w:br/>
              <w:t>• Rehberlik servisi ve ilgili öğretmenlerle iş birliği yapılarak okul içi destek yolları tanıtılacaktır.</w:t>
            </w:r>
          </w:p>
        </w:tc>
        <w:tc>
          <w:tcPr>
            <w:tcW w:type="dxa" w:w="226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Öğrencilerin arkadaşlarının gereksinimlerini varsaymak yerine sorması, bağımsızlığı desteklemesi ve kapsayıcı sınıf ortamına katkı sunması beklenecektir.</w:t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MART</w:t>
            </w:r>
          </w:p>
        </w:tc>
        <w:tc>
          <w:tcPr>
            <w:tcW w:type="dxa" w:w="294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Herkes için okul toplum hizmeti çalışması</w:t>
              <w:br/>
              <w:br/>
              <w:t>Okuldaki erişilebilirlik ve kapsayıcılık ihtiyacına ilişkin öğrenci gözlemlerini uygulanabilir önerilere dönüştürmek ve okul topluluğunda sorumluluk bilinci oluşturmak.</w:t>
            </w:r>
          </w:p>
        </w:tc>
        <w:tc>
          <w:tcPr>
            <w:tcW w:type="dxa" w:w="5273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Kasım ayında yapılan erişilebilirlik gözlemleri güncellenecek ve öncelikli ihtiyaçlar belirlenecektir.</w:t>
              <w:br/>
              <w:t>• Kolay uygulanabilir düzenlemeler için okul yönetimine sunulmak üzere öneri dosyası hazırlanacaktır.</w:t>
              <w:br/>
              <w:t>• Erişilebilir duyuru, yönlendirme ve etkinlik planlama ilkelerini içeren bilgilendirme çalışması yapılacaktır.</w:t>
              <w:br/>
              <w:t>• ........./........./2027 tarihinde gerçekleştirilecek toplum hizmeti faaliyetinin görev dağılımı, izinleri, güvenlik tedbirleri ve değerlendirme yöntemi kesinleştirilecektir.</w:t>
            </w:r>
          </w:p>
        </w:tc>
        <w:tc>
          <w:tcPr>
            <w:tcW w:type="dxa" w:w="226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Öğrencilerin sorun tespiti, ortak karar alma, çözüm geliştirme ve sonuçları izleme basamaklarını deneyimlemesi; okulun kapsayıcılığına somut katkı sunması beklenecektir.</w:t>
            </w:r>
          </w:p>
        </w:tc>
      </w:tr>
      <w:tr>
        <w:trPr>
          <w:cantSplit/>
        </w:trPr>
        <w:tc>
          <w:tcPr>
            <w:tcW w:type="dxa" w:w="1247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NİSAN</w:t>
            </w:r>
          </w:p>
        </w:tc>
        <w:tc>
          <w:tcPr>
            <w:tcW w:type="dxa" w:w="294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Kapsayıcı kültür sanat spor ve oyun</w:t>
              <w:br/>
              <w:br/>
              <w:t>Kültür, sanat, spor ve oyun etkinliklerinin farklı yetenek ve gereksinimlere göre uyarlanabileceğini göstermek; birlikte üretme ve katılımı güçlendirmek.</w:t>
            </w:r>
          </w:p>
        </w:tc>
        <w:tc>
          <w:tcPr>
            <w:tcW w:type="dxa" w:w="5273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Okulda uygulanan kültür, sanat, spor veya oyun etkinliklerinden biri katılım engelleri bakımından değerlendirilecektir.</w:t>
              <w:br/>
              <w:t>• Kurallar, materyaller, süre, mekân ve görevler farklı gereksinimlere göre uyarlanacaktır.</w:t>
              <w:br/>
              <w:t>• Öğrencilerin güçlü yönlerini görünür kılan kapsayıcı bir atölye veya oyun günü düzenlenecektir.</w:t>
              <w:br/>
              <w:t>• Etkinlik sonunda katılımcı görüşleri alınacak ve bir sonraki uygulama için iyileştirme önerileri kaydedilecektir.</w:t>
            </w:r>
          </w:p>
        </w:tc>
        <w:tc>
          <w:tcPr>
            <w:tcW w:type="dxa" w:w="226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Öğrencilerin başarıyı tek bir ölçüte göre değerlendirmemesi, farklı katılım biçimlerini kabul etmesi ve ortak etkinliklerde iş birliği kurması beklenecektir.</w:t>
            </w:r>
          </w:p>
        </w:tc>
      </w:tr>
      <w:tr>
        <w:trPr>
          <w:cantSplit/>
        </w:trPr>
        <w:tc>
          <w:tcPr>
            <w:tcW w:type="dxa" w:w="1247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b/>
                <w:sz w:val="20"/>
              </w:rPr>
              <w:t>MAYIS</w:t>
            </w:r>
          </w:p>
        </w:tc>
        <w:tc>
          <w:tcPr>
            <w:tcW w:type="dxa" w:w="294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10-16 Mayıs Engelliler Haftası ve 16 Mayıs Ulusal Erişilebilirlik Günü</w:t>
              <w:br/>
              <w:br/>
              <w:t>Engelliler Haftası boyunca erişilebilirlik, haklar, bağımsız yaşam ve topluma tam katılım konularını öğrenci katılımıyla görünür kılmak.</w:t>
            </w:r>
          </w:p>
        </w:tc>
        <w:tc>
          <w:tcPr>
            <w:tcW w:type="dxa" w:w="5273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10-16 Mayıs Engelliler Haftası için hak temelli bilgilendirme panosu ve sınıf sunumları hazırlanacaktır.</w:t>
              <w:br/>
              <w:t>• 16 Mayıs Ulusal Erişilebilirlik Günü kapsamında okulda erişilebilirlik bulguları ve çözüm önerileri paylaşılacaktır.</w:t>
              <w:br/>
              <w:t>• Uygun görülmesi hâlinde engelli bireylerin veya alan uzmanlarının deneyimlerini doğrudan aktaracağı bir söyleşi düzenlenecektir.</w:t>
              <w:br/>
              <w:t>• Etkinliklerde öğrencilerin fotoğrafı, sağlık bilgisi veya özel yaşamına ilişkin veriler izin alınmadan kullanılmayacaktır.</w:t>
            </w:r>
          </w:p>
        </w:tc>
        <w:tc>
          <w:tcPr>
            <w:tcW w:type="dxa" w:w="2268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Okul topluluğunda ortak bir erişilebilirlik dili oluşması, engelli bireylerin karar süreçlerine katılımının öneminin anlaşılması ve kalıcı iyileştirme önerileri geliştirilmesi beklenecektir.</w:t>
            </w:r>
          </w:p>
        </w:tc>
      </w:tr>
      <w:tr>
        <w:trPr>
          <w:cantSplit/>
        </w:trPr>
        <w:tc>
          <w:tcPr>
            <w:tcW w:type="dxa" w:w="1247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  <w:pageBreakBefore w:val="true"/>
            </w:pPr>
            <w:r>
              <w:rPr>
                <w:rFonts w:ascii="Times New Roman" w:hAnsi="Times New Roman" w:eastAsia="Times New Roman"/>
                <w:b/>
                <w:sz w:val="20"/>
              </w:rPr>
              <w:t>HAZİRAN</w:t>
            </w:r>
          </w:p>
        </w:tc>
        <w:tc>
          <w:tcPr>
            <w:tcW w:type="dxa" w:w="294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Yıl sonu değerlendirmesi ve sürdürülebilir kapsayıcılık</w:t>
              <w:br/>
              <w:br/>
              <w:t>Yıl boyunca yürütülen faaliyetlerin etkisini değerlendirmek, ürünleri düzenli biçimde dosyalamak ve gelecek yıl sürdürülebilecek çalışmaları belirlemek.</w:t>
            </w:r>
          </w:p>
        </w:tc>
        <w:tc>
          <w:tcPr>
            <w:tcW w:type="dxa" w:w="5273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• Aylık raporlar, toplantı tutanakları, öğrenci ürünleri, görseller ve toplum hizmeti kayıtları birlikte incelenecektir.</w:t>
              <w:br/>
              <w:t>• Başlangıç değerlendirmesi ile yıl sonu öğrenci görüşleri karşılaştırılacak; değişen tutum ve davranışlar belirlenecektir.</w:t>
              <w:br/>
              <w:t>• Okulda gerçekleştirilen erişilebilirlik iyileştirmeleri ve henüz sonuçlanmayan öneriler kayda alınacaktır.</w:t>
              <w:br/>
              <w:t>• Gelecek eğitim öğretim yılı için erişilebilir iletişim, akran desteği, veli katılımı ve uzman iş birliği önerileri hazırlanacaktır.</w:t>
            </w:r>
          </w:p>
        </w:tc>
        <w:tc>
          <w:tcPr>
            <w:tcW w:type="dxa" w:w="2268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center"/>
            </w:pPr>
            <w:r>
              <w:rPr>
                <w:rFonts w:ascii="Times New Roman" w:hAnsi="Times New Roman" w:eastAsia="Times New Roman"/>
                <w:sz w:val="20"/>
              </w:rPr>
              <w:t>Danışman öğretmen, kulüp yönetimi, görevli öğrenci ekipleri, rehberlik servisi ve ilgili öğretmenler</w:t>
            </w:r>
          </w:p>
        </w:tc>
        <w:tc>
          <w:tcPr>
            <w:tcW w:type="dxa" w:w="3231"/>
            <w:shd w:fill="F2F7FC"/>
            <w:tcMar>
              <w:top w:w="70" w:type="dxa"/>
              <w:start w:w="75" w:type="dxa"/>
              <w:bottom w:w="70" w:type="dxa"/>
              <w:end w:w="75" w:type="dxa"/>
            </w:tcMar>
            <w:vAlign w:val="center"/>
          </w:tcPr>
          <w:p>
            <w:pPr>
              <w:spacing w:after="40" w:line="240" w:lineRule="auto"/>
              <w:jc w:val="left"/>
            </w:pPr>
            <w:r>
              <w:rPr>
                <w:rFonts w:ascii="Times New Roman" w:hAnsi="Times New Roman" w:eastAsia="Times New Roman"/>
                <w:sz w:val="20"/>
              </w:rPr>
              <w:t>Öğrencilerin yıl içindeki öğrenmelerini günlük davranışlarla ilişkilendirmesi, kulüp çalışmalarının sürekliliğine katkı sunması ve sorumluluk bilincini geliştirmesi beklenecektir.</w:t>
            </w:r>
          </w:p>
        </w:tc>
      </w:tr>
    </w:tbl>
    <w:p>
      <w:pPr>
        <w:keepNext/>
        <w:spacing w:before="160" w:after="140" w:line="259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1"/>
        </w:rPr>
        <w:t>Bu plan, 2026-2027 eğitim öğretim yılında uygulanmak üzere hazırlanmış ve uygun görülmüştür.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0" w:color="FFFFFF"/>
          <w:left w:val="single" w:sz="0" w:color="FFFFFF"/>
          <w:bottom w:val="single" w:sz="0" w:color="FFFFFF"/>
          <w:right w:val="single" w:sz="0" w:color="FFFFFF"/>
          <w:insideH w:val="single" w:sz="0" w:color="FFFFFF"/>
          <w:insideV w:val="single" w:sz="0" w:color="FFFFFF"/>
        </w:tblBorders>
      </w:tblPr>
      <w:tblGrid>
        <w:gridCol w:w="7710"/>
        <w:gridCol w:w="7710"/>
      </w:tblGrid>
      <w:tr>
        <w:trPr>
          <w:cantSplit/>
        </w:trPr>
        <w:tc>
          <w:tcPr>
            <w:tcW w:type="dxa" w:w="4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 w:eastAsia="Times New Roman"/>
                <w:b/>
                <w:sz w:val="20"/>
              </w:rPr>
              <w:t>Kulüp Danışman Öğretmeni</w:t>
              <w:br/>
              <w:t>Ad SOYAD</w:t>
              <w:br/>
              <w:br/>
              <w:t>İmza: ........................</w:t>
            </w:r>
          </w:p>
        </w:tc>
        <w:tc>
          <w:tcPr>
            <w:tcW w:type="dxa" w:w="4592"/>
            <w:vAlign w:val="center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spacing w:after="0" w:line="240" w:lineRule="auto"/>
              <w:jc w:val="right"/>
            </w:pPr>
            <w:r>
              <w:rPr>
                <w:rFonts w:ascii="Times New Roman" w:hAnsi="Times New Roman" w:eastAsia="Times New Roman"/>
                <w:b/>
                <w:sz w:val="20"/>
              </w:rPr>
              <w:t>Uygundur</w:t>
              <w:br/>
              <w:t>........./........./2026</w:t>
              <w:br/>
              <w:t>Okul Müdürü</w:t>
              <w:br/>
              <w:t>Ad SOYAD</w:t>
              <w:br/>
              <w:t>İmza: ........................</w:t>
            </w:r>
          </w:p>
        </w:tc>
      </w:tr>
    </w:tbl>
    <w:sectPr>
      <w:footerReference w:type="default" r:id="rId9"/>
      <w:pgSz w:w="16838" w:h="11906" w:orient="landscape"/>
      <w:pgMar w:top="709" w:right="709" w:bottom="709" w:left="709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fldChar w:fldCharType="begin"/>
      <w:instrText xml:space="preserve"> PAGE </w:instrText>
      <w:fldChar w:fldCharType="separate"/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B439C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8-Beyazay_Kulubu_Yillik_Calisma_Plani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