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spacing w:after="100" w:before="0"/>
      </w:pPr>
      <w:r>
        <w:t>Mal Alımı Muayene Ve Kabul Tutanağı</w:t>
      </w:r>
    </w:p>
    <w:p>
      <w:pPr>
        <w:spacing w:after="220" w:before="0"/>
      </w:pPr>
      <w:r>
        <w:rPr>
          <w:sz w:val="18"/>
        </w:rPr>
        <w:t>Boş yardımcı şablon. Resmî standart form değildir; idarenin güncel form, EKAP, onay ve kayıt düzeninin yerine geçmez.</w:t>
      </w:r>
    </w:p>
    <w:p>
      <w:pPr>
        <w:tabs>
          <w:tab w:pos="2324" w:val="left"/>
        </w:tabs>
        <w:spacing w:after="60" w:before="0"/>
        <w:ind w:left="2324" w:hanging="2324"/>
      </w:pPr>
      <w:r/>
      <w:r>
        <w:rPr>
          <w:b/>
        </w:rPr>
        <w:t>İdare</w:t>
        <w:tab/>
      </w:r>
      <w:r>
        <w:t>[İdarenin adı]</w:t>
      </w:r>
    </w:p>
    <w:p>
      <w:pPr>
        <w:tabs>
          <w:tab w:pos="2324" w:val="left"/>
        </w:tabs>
        <w:spacing w:after="60" w:before="0"/>
        <w:ind w:left="2324" w:hanging="2324"/>
      </w:pPr>
      <w:r/>
      <w:r>
        <w:rPr>
          <w:b/>
        </w:rPr>
        <w:t>İşin adı ve İKN</w:t>
        <w:tab/>
      </w:r>
      <w:r>
        <w:t>[İşin adı] / [İhale kayıt numarası]</w:t>
      </w:r>
    </w:p>
    <w:p>
      <w:pPr>
        <w:tabs>
          <w:tab w:pos="2324" w:val="left"/>
        </w:tabs>
        <w:spacing w:after="60" w:before="0"/>
        <w:ind w:left="2324" w:hanging="2324"/>
      </w:pPr>
      <w:r/>
      <w:r>
        <w:rPr>
          <w:b/>
        </w:rPr>
        <w:t>Sözleşme ve yüklenici</w:t>
        <w:tab/>
      </w:r>
      <w:r>
        <w:t>[Sözleşme tarih ve sayısı] / [Yüklenici unvanı]</w:t>
      </w:r>
    </w:p>
    <w:p>
      <w:pPr>
        <w:tabs>
          <w:tab w:pos="2324" w:val="left"/>
        </w:tabs>
        <w:spacing w:after="60" w:before="0"/>
        <w:ind w:left="2324" w:hanging="2324"/>
      </w:pPr>
      <w:r/>
      <w:r>
        <w:rPr>
          <w:b/>
        </w:rPr>
        <w:t>Komisyon dayanağı</w:t>
        <w:tab/>
      </w:r>
      <w:r>
        <w:t>[Görevlendirme onayının tarih ve sayısı]</w:t>
      </w:r>
    </w:p>
    <w:p>
      <w:pPr>
        <w:tabs>
          <w:tab w:pos="2324" w:val="left"/>
        </w:tabs>
        <w:spacing w:after="60" w:before="0"/>
        <w:ind w:left="2324" w:hanging="2324"/>
      </w:pPr>
      <w:r/>
      <w:r>
        <w:rPr>
          <w:b/>
        </w:rPr>
        <w:t>Teslim belgesi</w:t>
        <w:tab/>
      </w:r>
      <w:r>
        <w:t>[Teslim tarihi] / [İrsaliye veya ilgili belgenin tarih ve sayısı]</w:t>
      </w:r>
    </w:p>
    <w:p>
      <w:pPr>
        <w:tabs>
          <w:tab w:pos="2324" w:val="left"/>
        </w:tabs>
        <w:spacing w:after="60" w:before="0"/>
        <w:ind w:left="2324" w:hanging="2324"/>
      </w:pPr>
      <w:r/>
      <w:r>
        <w:rPr>
          <w:b/>
        </w:rPr>
        <w:t>Muayene</w:t>
        <w:tab/>
      </w:r>
      <w:r>
        <w:t>[Tarih] / [Başlama ve bitiş saati] / [Yer]</w:t>
      </w:r>
    </w:p>
    <w:p>
      <w:pPr>
        <w:tabs>
          <w:tab w:pos="2324" w:val="left"/>
        </w:tabs>
        <w:spacing w:after="60" w:before="0"/>
        <w:ind w:left="2324" w:hanging="2324"/>
      </w:pPr>
      <w:r/>
      <w:r>
        <w:rPr>
          <w:b/>
        </w:rPr>
        <w:t>İncelenen doküman</w:t>
        <w:tab/>
      </w:r>
      <w:r>
        <w:t>[Teknik şartname ve ilgili madde / ek / rapor bilgileri]</w:t>
      </w:r>
    </w:p>
    <w:p>
      <w:pPr>
        <w:pStyle w:val="Heading1"/>
        <w:spacing w:after="0" w:before="0"/>
      </w:pPr>
      <w:r>
        <w:t>Muayene Karşılaştırması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CellMar>
          <w:top w:w="75" w:type="dxa"/>
          <w:left w:w="80" w:type="dxa"/>
          <w:bottom w:w="75" w:type="dxa"/>
          <w:right w:w="80" w:type="dxa"/>
        </w:tblCellMar>
        <w:tblBorders>
          <w:top w:val="single" w:sz="4" w:color="888888"/>
          <w:left w:val="single" w:sz="4" w:color="888888"/>
          <w:bottom w:val="single" w:sz="4" w:color="888888"/>
          <w:right w:val="single" w:sz="4" w:color="888888"/>
          <w:insideH w:val="single" w:sz="4" w:color="888888"/>
          <w:insideV w:val="single" w:sz="4" w:color="888888"/>
        </w:tblBorders>
      </w:tblPr>
      <w:tblGrid>
        <w:gridCol w:w="1984"/>
        <w:gridCol w:w="2438"/>
        <w:gridCol w:w="3969"/>
        <w:gridCol w:w="1814"/>
      </w:tblGrid>
      <w:tr>
        <w:trPr>
          <w:cantSplit/>
          <w:tblHeader/>
        </w:trPr>
        <w:tc>
          <w:tcPr>
            <w:tcW w:type="dxa" w:w="1984"/>
            <w:shd w:fill="EEEEEE"/>
            <w:vAlign w:val="center"/>
          </w:tcPr>
          <w:p>
            <w:r>
              <w:rPr>
                <w:b/>
                <w:sz w:val="20"/>
              </w:rPr>
              <w:t>Mal Ve Miktar</w:t>
            </w:r>
          </w:p>
        </w:tc>
        <w:tc>
          <w:tcPr>
            <w:tcW w:type="dxa" w:w="2438"/>
            <w:shd w:fill="EEEEEE"/>
            <w:vAlign w:val="center"/>
          </w:tcPr>
          <w:p>
            <w:r>
              <w:rPr>
                <w:b/>
                <w:sz w:val="20"/>
              </w:rPr>
              <w:t>İstenen Özellik</w:t>
            </w:r>
          </w:p>
        </w:tc>
        <w:tc>
          <w:tcPr>
            <w:tcW w:type="dxa" w:w="3969"/>
            <w:shd w:fill="EEEEEE"/>
            <w:vAlign w:val="center"/>
          </w:tcPr>
          <w:p>
            <w:r>
              <w:rPr>
                <w:b/>
                <w:sz w:val="20"/>
              </w:rPr>
              <w:t>Muayenede Bulunan Özellik</w:t>
            </w:r>
          </w:p>
        </w:tc>
        <w:tc>
          <w:tcPr>
            <w:tcW w:type="dxa" w:w="1814"/>
            <w:shd w:fill="EEEEEE"/>
            <w:vAlign w:val="center"/>
          </w:tcPr>
          <w:p>
            <w:r>
              <w:rPr>
                <w:b/>
                <w:sz w:val="20"/>
              </w:rPr>
              <w:t>Sonuç</w:t>
            </w:r>
          </w:p>
        </w:tc>
      </w:tr>
      <w:tr>
        <w:trPr>
          <w:cantSplit/>
        </w:trPr>
        <w:tc>
          <w:tcPr>
            <w:tcW w:type="dxa" w:w="1984"/>
            <w:vAlign w:val="center"/>
          </w:tcPr>
          <w:p>
            <w:pPr>
              <w:spacing w:after="0" w:line="250" w:lineRule="auto"/>
            </w:pPr>
            <w:r>
              <w:rPr>
                <w:sz w:val="20"/>
              </w:rPr>
              <w:t>[Malın adı]</w:t>
              <w:br/>
              <w:t>İstenen: [Miktar / birim]</w:t>
              <w:br/>
              <w:t>Teslim: [Miktar / birim]</w:t>
            </w:r>
          </w:p>
        </w:tc>
        <w:tc>
          <w:tcPr>
            <w:tcW w:type="dxa" w:w="2438"/>
            <w:vAlign w:val="center"/>
          </w:tcPr>
          <w:p>
            <w:pPr>
              <w:spacing w:after="0" w:line="250" w:lineRule="auto"/>
            </w:pPr>
            <w:r>
              <w:rPr>
                <w:sz w:val="20"/>
              </w:rPr>
              <w:t>[İhale dokümanındaki nitelikler]</w:t>
            </w:r>
          </w:p>
        </w:tc>
        <w:tc>
          <w:tcPr>
            <w:tcW w:type="dxa" w:w="3969"/>
            <w:vAlign w:val="center"/>
          </w:tcPr>
          <w:p>
            <w:pPr>
              <w:spacing w:after="0" w:line="250" w:lineRule="auto"/>
            </w:pPr>
            <w:r>
              <w:rPr>
                <w:sz w:val="20"/>
              </w:rPr>
              <w:t>[Muayenede bulunan nitelikler ve miktar]</w:t>
            </w:r>
          </w:p>
        </w:tc>
        <w:tc>
          <w:tcPr>
            <w:tcW w:type="dxa" w:w="1814"/>
            <w:vAlign w:val="center"/>
          </w:tcPr>
          <w:p>
            <w:pPr>
              <w:spacing w:after="0" w:line="250" w:lineRule="auto"/>
            </w:pPr>
            <w:r>
              <w:rPr>
                <w:sz w:val="20"/>
              </w:rPr>
              <w:t>[Karşılaştırma sonucu]</w:t>
            </w:r>
          </w:p>
        </w:tc>
      </w:tr>
      <w:tr>
        <w:trPr>
          <w:cantSplit/>
        </w:trPr>
        <w:tc>
          <w:tcPr>
            <w:tcW w:type="dxa" w:w="1984"/>
            <w:vAlign w:val="center"/>
          </w:tcPr>
          <w:p>
            <w:pPr>
              <w:spacing w:after="0" w:line="250" w:lineRule="auto"/>
            </w:pPr>
            <w:r>
              <w:rPr>
                <w:sz w:val="20"/>
              </w:rPr>
              <w:t>[Malın adı]</w:t>
              <w:br/>
              <w:t>İstenen: [Miktar / birim]</w:t>
              <w:br/>
              <w:t>Teslim: [Miktar / birim]</w:t>
            </w:r>
          </w:p>
        </w:tc>
        <w:tc>
          <w:tcPr>
            <w:tcW w:type="dxa" w:w="2438"/>
            <w:vAlign w:val="center"/>
          </w:tcPr>
          <w:p>
            <w:pPr>
              <w:spacing w:after="0" w:line="250" w:lineRule="auto"/>
            </w:pPr>
            <w:r>
              <w:rPr>
                <w:sz w:val="20"/>
              </w:rPr>
              <w:t>[İhale dokümanındaki nitelikler]</w:t>
            </w:r>
          </w:p>
        </w:tc>
        <w:tc>
          <w:tcPr>
            <w:tcW w:type="dxa" w:w="3969"/>
            <w:vAlign w:val="center"/>
          </w:tcPr>
          <w:p>
            <w:pPr>
              <w:spacing w:after="0" w:line="250" w:lineRule="auto"/>
            </w:pPr>
            <w:r>
              <w:rPr>
                <w:sz w:val="20"/>
              </w:rPr>
              <w:t>[Muayenede bulunan nitelikler ve miktar]</w:t>
            </w:r>
          </w:p>
        </w:tc>
        <w:tc>
          <w:tcPr>
            <w:tcW w:type="dxa" w:w="1814"/>
            <w:vAlign w:val="center"/>
          </w:tcPr>
          <w:p>
            <w:pPr>
              <w:spacing w:after="0" w:line="250" w:lineRule="auto"/>
            </w:pPr>
            <w:r>
              <w:rPr>
                <w:sz w:val="20"/>
              </w:rPr>
              <w:t>[Karşılaştırma sonucu]</w:t>
            </w:r>
          </w:p>
        </w:tc>
      </w:tr>
    </w:tbl>
    <w:p>
      <w:pPr>
        <w:pStyle w:val="Heading1"/>
        <w:spacing w:after="0" w:before="0"/>
      </w:pPr>
      <w:r>
        <w:t>İnceleme Yöntemi Ve Dayanaklar</w:t>
      </w:r>
    </w:p>
    <w:p>
      <w:pPr>
        <w:spacing w:after="0" w:before="0"/>
      </w:pPr>
      <w:r>
        <w:t>[İncelemenin yöntemi, kapsamı ve varsa ölçüm, numune, test veya rapor bilgileri]</w:t>
      </w:r>
    </w:p>
    <w:p>
      <w:pPr>
        <w:pStyle w:val="Heading1"/>
        <w:spacing w:after="0" w:before="0"/>
      </w:pPr>
      <w:r>
        <w:t>Komisyon Kararı</w:t>
      </w:r>
    </w:p>
    <w:p>
      <w:pPr>
        <w:spacing w:after="0" w:before="0"/>
      </w:pPr>
      <w:r>
        <w:t>[Karşılaştırmaya dayalı gerekçeli karar; niteliklerine uygundur veya niteliklerine uygun değildir sonucu; oy durumu. Varsa karşı oy gerekçesi kararın altında yer alır.]</w:t>
      </w:r>
    </w:p>
    <w:p>
      <w:pPr>
        <w:spacing w:after="0" w:before="100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CellMar>
          <w:top w:w="75" w:type="dxa"/>
          <w:left w:w="80" w:type="dxa"/>
          <w:bottom w:w="75" w:type="dxa"/>
          <w:right w:w="80" w:type="dxa"/>
        </w:tblCellMar>
        <w:tblBorders>
          <w:top w:val="nil" w:sz="4" w:color="888888"/>
          <w:left w:val="nil" w:sz="4" w:color="888888"/>
          <w:bottom w:val="nil" w:sz="4" w:color="888888"/>
          <w:right w:val="nil" w:sz="4" w:color="888888"/>
          <w:insideH w:val="nil" w:sz="4" w:color="888888"/>
          <w:insideV w:val="nil" w:sz="4" w:color="888888"/>
        </w:tblBorders>
      </w:tblPr>
      <w:tblGrid>
        <w:gridCol w:w="3402"/>
        <w:gridCol w:w="3402"/>
        <w:gridCol w:w="3402"/>
      </w:tblGrid>
      <w:tr>
        <w:trPr>
          <w:cantSplit/>
        </w:trPr>
        <w:tc>
          <w:tcPr>
            <w:tcW w:type="dxa" w:w="3402"/>
            <w:vAlign w:val="center"/>
          </w:tcPr>
          <w:p>
            <w:pPr>
              <w:jc w:val="center"/>
            </w:pPr>
            <w:r>
              <w:t>Başkan</w:t>
              <w:br/>
              <w:t>[Adı Soyadı]</w:t>
              <w:br/>
              <w:t>[Unvanı]</w:t>
              <w:br/>
              <w:t>İmza</w:t>
            </w:r>
          </w:p>
        </w:tc>
        <w:tc>
          <w:tcPr>
            <w:tcW w:type="dxa" w:w="3402"/>
            <w:vAlign w:val="center"/>
          </w:tcPr>
          <w:p>
            <w:pPr>
              <w:jc w:val="center"/>
            </w:pPr>
            <w:r>
              <w:t>Uzman Üye</w:t>
              <w:br/>
              <w:t>[Adı Soyadı]</w:t>
              <w:br/>
              <w:t>[Unvanı]</w:t>
              <w:br/>
              <w:t>İmza</w:t>
            </w:r>
          </w:p>
        </w:tc>
        <w:tc>
          <w:tcPr>
            <w:tcW w:type="dxa" w:w="3402"/>
            <w:vAlign w:val="center"/>
          </w:tcPr>
          <w:p>
            <w:pPr>
              <w:jc w:val="center"/>
            </w:pPr>
            <w:r>
              <w:t>Üye</w:t>
              <w:br/>
              <w:t>[Adı Soyadı]</w:t>
              <w:br/>
              <w:t>[Unvanı]</w:t>
              <w:br/>
              <w:t>İmza</w:t>
            </w:r>
          </w:p>
        </w:tc>
      </w:tr>
    </w:tbl>
    <w:p>
      <w:pPr>
        <w:spacing w:after="0" w:before="220"/>
      </w:pPr>
      <w:r>
        <w:rPr>
          <w:sz w:val="17"/>
        </w:rPr>
        <w:t>Ekler: [Varsa ek rapor ve tutanakların adı, tarihi ve sayısı]. Alanlar komisyonun tamamına ve incelemenin kapsamına göre genişletilir. Bu örnek, gerekli diğer muayene tutanaklarını veya idari kabul işlemini içermez.</w:t>
      </w:r>
    </w:p>
    <w:p>
      <w:r>
        <w:br w:type="page"/>
      </w:r>
    </w:p>
    <w:p>
      <w:pPr>
        <w:pStyle w:val="Title"/>
        <w:spacing w:after="100" w:before="0"/>
      </w:pPr>
      <w:r>
        <w:t>Mal Alımı Muayene Ve Kabul Tutanağı</w:t>
      </w:r>
    </w:p>
    <w:p>
      <w:pPr>
        <w:spacing w:after="220" w:before="0"/>
      </w:pPr>
      <w:r>
        <w:rPr>
          <w:sz w:val="18"/>
        </w:rPr>
        <w:t>Tamamen kurgu doldurulmuş örnek. Kurum, kişiler, yüklenici ve belge bilgileri gerçek değildir. Resmî standart form değildir; imzalar boştur.</w:t>
      </w:r>
    </w:p>
    <w:p>
      <w:pPr>
        <w:tabs>
          <w:tab w:pos="2324" w:val="left"/>
        </w:tabs>
        <w:spacing w:after="60" w:before="0"/>
        <w:ind w:left="2324" w:hanging="2324"/>
      </w:pPr>
      <w:r/>
      <w:r>
        <w:rPr>
          <w:b/>
        </w:rPr>
        <w:t>İdare</w:t>
        <w:tab/>
      </w:r>
      <w:r>
        <w:t>Örnek Ufuk Eğitim İdaresi</w:t>
      </w:r>
    </w:p>
    <w:p>
      <w:pPr>
        <w:tabs>
          <w:tab w:pos="2324" w:val="left"/>
        </w:tabs>
        <w:spacing w:after="60" w:before="0"/>
        <w:ind w:left="2324" w:hanging="2324"/>
      </w:pPr>
      <w:r/>
      <w:r>
        <w:rPr>
          <w:b/>
        </w:rPr>
        <w:t>İşin adı ve İKN</w:t>
        <w:tab/>
      </w:r>
      <w:r>
        <w:t>Kırtasiye malzemesi alımı / KURGU İKN</w:t>
      </w:r>
    </w:p>
    <w:p>
      <w:pPr>
        <w:tabs>
          <w:tab w:pos="2324" w:val="left"/>
        </w:tabs>
        <w:spacing w:after="60" w:before="0"/>
        <w:ind w:left="2324" w:hanging="2324"/>
      </w:pPr>
      <w:r/>
      <w:r>
        <w:rPr>
          <w:b/>
        </w:rPr>
        <w:t>Sözleşme ve yüklenici</w:t>
        <w:tab/>
      </w:r>
      <w:r>
        <w:t>01.10.2026 / K-01 / Örnek Kırtasiye Tedarik Şirketi</w:t>
      </w:r>
    </w:p>
    <w:p>
      <w:pPr>
        <w:tabs>
          <w:tab w:pos="2324" w:val="left"/>
        </w:tabs>
        <w:spacing w:after="60" w:before="0"/>
        <w:ind w:left="2324" w:hanging="2324"/>
      </w:pPr>
      <w:r/>
      <w:r>
        <w:rPr>
          <w:b/>
        </w:rPr>
        <w:t>Komisyon dayanağı</w:t>
        <w:tab/>
      </w:r>
      <w:r>
        <w:t>12.10.2026 tarihli K-02 sayılı görevlendirme onayı</w:t>
      </w:r>
    </w:p>
    <w:p>
      <w:pPr>
        <w:tabs>
          <w:tab w:pos="2324" w:val="left"/>
        </w:tabs>
        <w:spacing w:after="60" w:before="0"/>
        <w:ind w:left="2324" w:hanging="2324"/>
      </w:pPr>
      <w:r/>
      <w:r>
        <w:rPr>
          <w:b/>
        </w:rPr>
        <w:t>Teslim belgesi</w:t>
        <w:tab/>
      </w:r>
      <w:r>
        <w:t>16.10.2026 / Aynı tarihli K-03 sayılı teslim belgesi</w:t>
      </w:r>
    </w:p>
    <w:p>
      <w:pPr>
        <w:tabs>
          <w:tab w:pos="2324" w:val="left"/>
        </w:tabs>
        <w:spacing w:after="60" w:before="0"/>
        <w:ind w:left="2324" w:hanging="2324"/>
      </w:pPr>
      <w:r/>
      <w:r>
        <w:rPr>
          <w:b/>
        </w:rPr>
        <w:t>Muayene</w:t>
        <w:tab/>
      </w:r>
      <w:r>
        <w:t>19.10.2026 / 10.00–11.00 / İdare malzeme odası</w:t>
      </w:r>
    </w:p>
    <w:p>
      <w:pPr>
        <w:tabs>
          <w:tab w:pos="2324" w:val="left"/>
        </w:tabs>
        <w:spacing w:after="60" w:before="0"/>
        <w:ind w:left="2324" w:hanging="2324"/>
      </w:pPr>
      <w:r/>
      <w:r>
        <w:rPr>
          <w:b/>
        </w:rPr>
        <w:t>İncelenen doküman</w:t>
        <w:tab/>
      </w:r>
      <w:r>
        <w:t>Kurgu teknik şartname 1 ve 2 nci kalemler</w:t>
      </w:r>
    </w:p>
    <w:p>
      <w:pPr>
        <w:pStyle w:val="Heading1"/>
        <w:spacing w:after="0" w:before="0"/>
      </w:pPr>
      <w:r>
        <w:t>Muayene Karşılaştırması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CellMar>
          <w:top w:w="75" w:type="dxa"/>
          <w:left w:w="80" w:type="dxa"/>
          <w:bottom w:w="75" w:type="dxa"/>
          <w:right w:w="80" w:type="dxa"/>
        </w:tblCellMar>
        <w:tblBorders>
          <w:top w:val="single" w:sz="4" w:color="888888"/>
          <w:left w:val="single" w:sz="4" w:color="888888"/>
          <w:bottom w:val="single" w:sz="4" w:color="888888"/>
          <w:right w:val="single" w:sz="4" w:color="888888"/>
          <w:insideH w:val="single" w:sz="4" w:color="888888"/>
          <w:insideV w:val="single" w:sz="4" w:color="888888"/>
        </w:tblBorders>
      </w:tblPr>
      <w:tblGrid>
        <w:gridCol w:w="1984"/>
        <w:gridCol w:w="2438"/>
        <w:gridCol w:w="3969"/>
        <w:gridCol w:w="1814"/>
      </w:tblGrid>
      <w:tr>
        <w:trPr>
          <w:cantSplit/>
          <w:tblHeader/>
        </w:trPr>
        <w:tc>
          <w:tcPr>
            <w:tcW w:type="dxa" w:w="1984"/>
            <w:shd w:fill="EEEEEE"/>
            <w:vAlign w:val="center"/>
          </w:tcPr>
          <w:p>
            <w:r>
              <w:rPr>
                <w:b/>
                <w:sz w:val="20"/>
              </w:rPr>
              <w:t>Mal Ve Miktar</w:t>
            </w:r>
          </w:p>
        </w:tc>
        <w:tc>
          <w:tcPr>
            <w:tcW w:type="dxa" w:w="2438"/>
            <w:shd w:fill="EEEEEE"/>
            <w:vAlign w:val="center"/>
          </w:tcPr>
          <w:p>
            <w:r>
              <w:rPr>
                <w:b/>
                <w:sz w:val="20"/>
              </w:rPr>
              <w:t>İstenen Özellik</w:t>
            </w:r>
          </w:p>
        </w:tc>
        <w:tc>
          <w:tcPr>
            <w:tcW w:type="dxa" w:w="3969"/>
            <w:shd w:fill="EEEEEE"/>
            <w:vAlign w:val="center"/>
          </w:tcPr>
          <w:p>
            <w:r>
              <w:rPr>
                <w:b/>
                <w:sz w:val="20"/>
              </w:rPr>
              <w:t>Muayenede Bulunan Özellik</w:t>
            </w:r>
          </w:p>
        </w:tc>
        <w:tc>
          <w:tcPr>
            <w:tcW w:type="dxa" w:w="1814"/>
            <w:shd w:fill="EEEEEE"/>
            <w:vAlign w:val="center"/>
          </w:tcPr>
          <w:p>
            <w:r>
              <w:rPr>
                <w:b/>
                <w:sz w:val="20"/>
              </w:rPr>
              <w:t>Sonuç</w:t>
            </w:r>
          </w:p>
        </w:tc>
      </w:tr>
      <w:tr>
        <w:trPr>
          <w:cantSplit/>
        </w:trPr>
        <w:tc>
          <w:tcPr>
            <w:tcW w:type="dxa" w:w="1984"/>
            <w:vAlign w:val="center"/>
          </w:tcPr>
          <w:p>
            <w:pPr>
              <w:spacing w:after="0" w:line="250" w:lineRule="auto"/>
            </w:pPr>
            <w:r>
              <w:rPr>
                <w:sz w:val="20"/>
              </w:rPr>
              <w:t>Poşet dosya</w:t>
              <w:br/>
              <w:t>İstenen: 10 paket</w:t>
              <w:br/>
              <w:t>Teslim: 10 paket</w:t>
            </w:r>
          </w:p>
        </w:tc>
        <w:tc>
          <w:tcPr>
            <w:tcW w:type="dxa" w:w="2438"/>
            <w:vAlign w:val="center"/>
          </w:tcPr>
          <w:p>
            <w:pPr>
              <w:spacing w:after="0" w:line="250" w:lineRule="auto"/>
            </w:pPr>
            <w:r>
              <w:rPr>
                <w:sz w:val="20"/>
              </w:rPr>
              <w:t>A4, şeffaf, delikli; paket başına 100 adet</w:t>
            </w:r>
          </w:p>
        </w:tc>
        <w:tc>
          <w:tcPr>
            <w:tcW w:type="dxa" w:w="3969"/>
            <w:vAlign w:val="center"/>
          </w:tcPr>
          <w:p>
            <w:pPr>
              <w:spacing w:after="0" w:line="250" w:lineRule="auto"/>
            </w:pPr>
            <w:r>
              <w:rPr>
                <w:sz w:val="20"/>
              </w:rPr>
              <w:t>10 paket sayıldı. A4, şeffaf ve delikli olduğu; her pakette 100 adet bulunduğu görüldü.</w:t>
            </w:r>
          </w:p>
        </w:tc>
        <w:tc>
          <w:tcPr>
            <w:tcW w:type="dxa" w:w="1814"/>
            <w:vAlign w:val="center"/>
          </w:tcPr>
          <w:p>
            <w:pPr>
              <w:spacing w:after="0" w:line="250" w:lineRule="auto"/>
            </w:pPr>
            <w:r>
              <w:rPr>
                <w:sz w:val="20"/>
              </w:rPr>
              <w:t>Niteliklerine uygundur.</w:t>
            </w:r>
          </w:p>
        </w:tc>
      </w:tr>
      <w:tr>
        <w:trPr>
          <w:cantSplit/>
        </w:trPr>
        <w:tc>
          <w:tcPr>
            <w:tcW w:type="dxa" w:w="1984"/>
            <w:vAlign w:val="center"/>
          </w:tcPr>
          <w:p>
            <w:pPr>
              <w:spacing w:after="0" w:line="250" w:lineRule="auto"/>
            </w:pPr>
            <w:r>
              <w:rPr>
                <w:sz w:val="20"/>
              </w:rPr>
              <w:t>Klasör</w:t>
              <w:br/>
              <w:t>İstenen: 20 adet</w:t>
              <w:br/>
              <w:t>Teslim: 20 adet</w:t>
            </w:r>
          </w:p>
        </w:tc>
        <w:tc>
          <w:tcPr>
            <w:tcW w:type="dxa" w:w="2438"/>
            <w:vAlign w:val="center"/>
          </w:tcPr>
          <w:p>
            <w:pPr>
              <w:spacing w:after="0" w:line="250" w:lineRule="auto"/>
            </w:pPr>
            <w:r>
              <w:rPr>
                <w:sz w:val="20"/>
              </w:rPr>
              <w:t>A4, mavi; sırt genişliği 5 cm; metal mekanizmalı</w:t>
            </w:r>
          </w:p>
        </w:tc>
        <w:tc>
          <w:tcPr>
            <w:tcW w:type="dxa" w:w="3969"/>
            <w:vAlign w:val="center"/>
          </w:tcPr>
          <w:p>
            <w:pPr>
              <w:spacing w:after="0" w:line="250" w:lineRule="auto"/>
            </w:pPr>
            <w:r>
              <w:rPr>
                <w:sz w:val="20"/>
              </w:rPr>
              <w:t>20 adet sayıldı. A4 ve mavi olduğu görüldü; sırt genişliği 5 cm ölçüldü. Metal mekanizmalar açılıp kapandı.</w:t>
            </w:r>
          </w:p>
        </w:tc>
        <w:tc>
          <w:tcPr>
            <w:tcW w:type="dxa" w:w="1814"/>
            <w:vAlign w:val="center"/>
          </w:tcPr>
          <w:p>
            <w:pPr>
              <w:spacing w:after="0" w:line="250" w:lineRule="auto"/>
            </w:pPr>
            <w:r>
              <w:rPr>
                <w:sz w:val="20"/>
              </w:rPr>
              <w:t>Niteliklerine uygundur.</w:t>
            </w:r>
          </w:p>
        </w:tc>
      </w:tr>
    </w:tbl>
    <w:p>
      <w:pPr>
        <w:pStyle w:val="Heading1"/>
        <w:spacing w:after="0" w:before="0"/>
      </w:pPr>
      <w:r>
        <w:t>İnceleme Yöntemi Ve Dayanaklar</w:t>
      </w:r>
    </w:p>
    <w:p>
      <w:pPr>
        <w:spacing w:after="0" w:before="0"/>
      </w:pPr>
      <w:r>
        <w:t>Kurgu örnekte tüm kalemler sayım, görsel inceleme, ölçüm ve mekanizmaların açılıp kapatılmasıyla incelenmiştir. Şartname kapsamının tablodaki özelliklerle sınırlı olduğu varsayılmıştır.</w:t>
      </w:r>
    </w:p>
    <w:p>
      <w:pPr>
        <w:pStyle w:val="Heading1"/>
        <w:spacing w:after="0" w:before="0"/>
      </w:pPr>
      <w:r>
        <w:t>Komisyon Kararı</w:t>
      </w:r>
    </w:p>
    <w:p>
      <w:pPr>
        <w:spacing w:after="0" w:before="0"/>
      </w:pPr>
      <w:r>
        <w:t>Yukarıdaki karşılaştırma sonucunda her iki mal kaleminin belirtilen miktar ve niteliklere uygun olduğu, niteliklerine uygundur sonucuyla idarenin kabul işlemine esas olmak üzere oy birliğiyle karara bağlanmıştır.</w:t>
      </w:r>
    </w:p>
    <w:p>
      <w:pPr>
        <w:spacing w:after="0" w:before="100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CellMar>
          <w:top w:w="75" w:type="dxa"/>
          <w:left w:w="80" w:type="dxa"/>
          <w:bottom w:w="75" w:type="dxa"/>
          <w:right w:w="80" w:type="dxa"/>
        </w:tblCellMar>
        <w:tblBorders>
          <w:top w:val="nil" w:sz="4" w:color="888888"/>
          <w:left w:val="nil" w:sz="4" w:color="888888"/>
          <w:bottom w:val="nil" w:sz="4" w:color="888888"/>
          <w:right w:val="nil" w:sz="4" w:color="888888"/>
          <w:insideH w:val="nil" w:sz="4" w:color="888888"/>
          <w:insideV w:val="nil" w:sz="4" w:color="888888"/>
        </w:tblBorders>
      </w:tblPr>
      <w:tblGrid>
        <w:gridCol w:w="3402"/>
        <w:gridCol w:w="3402"/>
        <w:gridCol w:w="3402"/>
      </w:tblGrid>
      <w:tr>
        <w:trPr>
          <w:cantSplit/>
        </w:trPr>
        <w:tc>
          <w:tcPr>
            <w:tcW w:type="dxa" w:w="3402"/>
            <w:vAlign w:val="center"/>
          </w:tcPr>
          <w:p>
            <w:pPr>
              <w:jc w:val="center"/>
            </w:pPr>
            <w:r>
              <w:t>Başkan</w:t>
              <w:br/>
              <w:t>Deniz Aydın</w:t>
              <w:br/>
              <w:t>Şube Müdürü</w:t>
              <w:br/>
              <w:t>İmza</w:t>
            </w:r>
          </w:p>
        </w:tc>
        <w:tc>
          <w:tcPr>
            <w:tcW w:type="dxa" w:w="3402"/>
            <w:vAlign w:val="center"/>
          </w:tcPr>
          <w:p>
            <w:pPr>
              <w:jc w:val="center"/>
            </w:pPr>
            <w:r>
              <w:t>Uzman Üye</w:t>
              <w:br/>
              <w:t>Ece Yalın</w:t>
              <w:br/>
              <w:t>Görevli Personel</w:t>
              <w:br/>
              <w:t>İmza</w:t>
            </w:r>
          </w:p>
        </w:tc>
        <w:tc>
          <w:tcPr>
            <w:tcW w:type="dxa" w:w="3402"/>
            <w:vAlign w:val="center"/>
          </w:tcPr>
          <w:p>
            <w:pPr>
              <w:jc w:val="center"/>
            </w:pPr>
            <w:r>
              <w:t>Üye</w:t>
              <w:br/>
              <w:t>Arda Ergin</w:t>
              <w:br/>
              <w:t>Memur</w:t>
              <w:br/>
              <w:t>İmza</w:t>
            </w:r>
          </w:p>
        </w:tc>
      </w:tr>
    </w:tbl>
    <w:p>
      <w:pPr>
        <w:spacing w:after="0" w:before="220"/>
      </w:pPr>
      <w:r>
        <w:rPr>
          <w:sz w:val="17"/>
        </w:rPr>
        <w:t>Kurgu örnekte ek rapor yoktur. Gerçek alımda tüm teknik koşullar ve gerekli testler değerlendirilir. Bu yardımcı kayıt, idarenin güncel EKAP, onay ve kayıt düzeninin veya ödeme belgesinin yerine geçmez.</w:t>
      </w:r>
    </w:p>
    <w:sectPr w:rsidR="00FC693F" w:rsidRPr="0006063C" w:rsidSect="00034616">
      <w:pgSz w:w="11906" w:h="16838"/>
      <w:pgMar w:top="850" w:right="850" w:bottom="850" w:left="850" w:header="340" w:footer="34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widowControl/>
      <w:spacing w:after="0" w:line="254" w:lineRule="auto"/>
    </w:pPr>
    <w:rPr>
      <w:rFonts w:ascii="Arial" w:hAnsi="Arial"/>
      <w:color w:val="000000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color w:val="000000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color w:val="000000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80" w:after="10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3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10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00000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 w:ascii="Arial" w:hAnsi="Arial"/>
      <w:b/>
      <w:bCs/>
      <w:i/>
      <w:iCs/>
      <w:color w:val="00000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 w:ascii="Arial" w:hAnsi="Arial"/>
      <w:color w:val="00000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 w:ascii="Arial" w:hAnsi="Arial"/>
      <w:i/>
      <w:iCs/>
      <w:color w:val="00000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 w:ascii="Arial" w:hAnsi="Arial"/>
      <w:i/>
      <w:iCs/>
      <w:color w:val="00000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 w:ascii="Arial" w:hAnsi="Arial"/>
      <w:color w:val="00000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 w:ascii="Arial" w:hAnsi="Arial"/>
      <w:i/>
      <w:iCs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  <w:rPr>
      <w:rFonts w:ascii="Arial" w:hAnsi="Arial"/>
      <w:color w:val="000000"/>
    </w:r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spacing w:after="100" w:line="240" w:lineRule="auto" w:before="180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3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0"/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after="0"/>
      <w:ind w:left="720"/>
      <w:contextualSpacing/>
    </w:pPr>
    <w:rPr>
      <w:rFonts w:ascii="Arial" w:hAnsi="Arial"/>
      <w:color w:val="000000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0"/>
    </w:pPr>
    <w:rPr>
      <w:rFonts w:ascii="Arial" w:hAnsi="Arial"/>
      <w:color w:val="000000"/>
    </w:r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0" w:line="480" w:lineRule="auto"/>
    </w:pPr>
    <w:rPr>
      <w:rFonts w:ascii="Arial" w:hAnsi="Arial"/>
      <w:color w:val="000000"/>
    </w:r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0"/>
    </w:pPr>
    <w:rPr>
      <w:rFonts w:ascii="Arial" w:hAnsi="Arial"/>
      <w:color w:val="000000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spacing w:after="0"/>
      <w:ind w:left="360" w:hanging="360"/>
      <w:contextualSpacing/>
    </w:pPr>
    <w:rPr>
      <w:rFonts w:ascii="Arial" w:hAnsi="Arial"/>
      <w:color w:val="000000"/>
    </w:rPr>
  </w:style>
  <w:style w:type="paragraph" w:styleId="List2">
    <w:name w:val="List 2"/>
    <w:basedOn w:val="Normal"/>
    <w:uiPriority w:val="99"/>
    <w:unhideWhenUsed/>
    <w:rsid w:val="00326F90"/>
    <w:pPr>
      <w:spacing w:after="0"/>
      <w:ind w:left="720" w:hanging="360"/>
      <w:contextualSpacing/>
    </w:pPr>
    <w:rPr>
      <w:rFonts w:ascii="Arial" w:hAnsi="Arial"/>
      <w:color w:val="000000"/>
    </w:rPr>
  </w:style>
  <w:style w:type="paragraph" w:styleId="List3">
    <w:name w:val="List 3"/>
    <w:basedOn w:val="Normal"/>
    <w:uiPriority w:val="99"/>
    <w:unhideWhenUsed/>
    <w:rsid w:val="00326F90"/>
    <w:pPr>
      <w:spacing w:after="0"/>
      <w:ind w:left="1080" w:hanging="360"/>
      <w:contextualSpacing/>
    </w:pPr>
    <w:rPr>
      <w:rFonts w:ascii="Arial" w:hAnsi="Arial"/>
      <w:color w:val="000000"/>
    </w:r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0"/>
      <w:contextualSpacing/>
    </w:pPr>
    <w:rPr>
      <w:rFonts w:ascii="Arial" w:hAnsi="Arial"/>
      <w:color w:val="00000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0"/>
      <w:contextualSpacing/>
    </w:pPr>
    <w:rPr>
      <w:rFonts w:ascii="Arial" w:hAnsi="Arial"/>
      <w:color w:val="00000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spacing w:after="0"/>
      <w:contextualSpacing/>
    </w:pPr>
    <w:rPr>
      <w:rFonts w:ascii="Arial" w:hAnsi="Arial"/>
      <w:color w:val="000000"/>
    </w:r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spacing w:after="0"/>
      <w:contextualSpacing/>
    </w:pPr>
    <w:rPr>
      <w:rFonts w:ascii="Arial" w:hAnsi="Arial"/>
      <w:color w:val="000000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spacing w:after="0"/>
      <w:contextualSpacing/>
    </w:pPr>
    <w:rPr>
      <w:rFonts w:ascii="Arial" w:hAnsi="Arial"/>
      <w:color w:val="000000"/>
    </w:r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spacing w:after="0"/>
      <w:contextualSpacing/>
    </w:pPr>
    <w:rPr>
      <w:rFonts w:ascii="Arial" w:hAnsi="Arial"/>
      <w:color w:val="000000"/>
    </w:rPr>
  </w:style>
  <w:style w:type="paragraph" w:styleId="ListContinue">
    <w:name w:val="List Continue"/>
    <w:basedOn w:val="Normal"/>
    <w:uiPriority w:val="99"/>
    <w:unhideWhenUsed/>
    <w:rsid w:val="0029639D"/>
    <w:pPr>
      <w:spacing w:after="0"/>
      <w:ind w:left="360"/>
      <w:contextualSpacing/>
    </w:pPr>
    <w:rPr>
      <w:rFonts w:ascii="Arial" w:hAnsi="Arial"/>
      <w:color w:val="000000"/>
    </w:rPr>
  </w:style>
  <w:style w:type="paragraph" w:styleId="ListContinue2">
    <w:name w:val="List Continue 2"/>
    <w:basedOn w:val="Normal"/>
    <w:uiPriority w:val="99"/>
    <w:unhideWhenUsed/>
    <w:rsid w:val="0029639D"/>
    <w:pPr>
      <w:spacing w:after="0"/>
      <w:ind w:left="720"/>
      <w:contextualSpacing/>
    </w:pPr>
    <w:rPr>
      <w:rFonts w:ascii="Arial" w:hAnsi="Arial"/>
      <w:color w:val="000000"/>
    </w:rPr>
  </w:style>
  <w:style w:type="paragraph" w:styleId="ListContinue3">
    <w:name w:val="List Continue 3"/>
    <w:basedOn w:val="Normal"/>
    <w:uiPriority w:val="99"/>
    <w:unhideWhenUsed/>
    <w:rsid w:val="0029639D"/>
    <w:pPr>
      <w:spacing w:after="0"/>
      <w:ind w:left="1080"/>
      <w:contextualSpacing/>
    </w:pPr>
    <w:rPr>
      <w:rFonts w:ascii="Arial" w:hAnsi="Arial"/>
      <w:color w:val="000000"/>
    </w:r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0"/>
    </w:pPr>
    <w:rPr>
      <w:rFonts w:ascii="Arial" w:hAnsi="Arial"/>
      <w:color w:val="000000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>
      <w:spacing w:after="0"/>
    </w:pPr>
    <w:rPr>
      <w:rFonts w:ascii="Arial" w:hAnsi="Arial"/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 w:after="0"/>
    </w:pPr>
    <w:rPr>
      <w:rFonts w:ascii="Arial" w:hAnsi="Arial"/>
      <w:b/>
      <w:bCs/>
      <w:color w:val="000000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0"/>
      <w:ind w:left="936" w:right="936"/>
    </w:pPr>
    <w:rPr>
      <w:rFonts w:ascii="Arial" w:hAnsi="Arial"/>
      <w:b/>
      <w:bCs/>
      <w:i/>
      <w:iCs/>
      <w:color w:val="00000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spacing w:after="0"/>
      <w:outlineLvl w:val="9"/>
    </w:pPr>
    <w:rPr>
      <w:rFonts w:ascii="Arial" w:hAnsi="Arial"/>
      <w:color w:val="000000"/>
    </w:r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Mal Alımı Muayene Ve Kabul Tutanağı Örneği</dc:title>
  <dc:subject>4734 sayılı Kanun hükümlerine göre yapılan ihaleler sonucunda teslim edilen mallar için yardımcı örnek</dc:subject>
  <dc:creator>MEBBilgi</dc:creator>
  <cp:keywords>mal alımı; muayene ve kabul; yardımcı örnek; kurgu</cp:keywords>
  <dc:description/>
  <cp:lastModifiedBy>MEBBilgi</cp:lastModifiedBy>
  <cp:revision>1</cp:revision>
  <dcterms:created xsi:type="dcterms:W3CDTF">2013-12-23T23:15:00Z</dcterms:created>
  <dcterms:modified xsi:type="dcterms:W3CDTF">2013-12-23T23:15:00Z</dcterms:modified>
  <cp:category/>
</cp:coreProperties>
</file>